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2AC4A6" w14:textId="176305FF" w:rsidR="00E90E49" w:rsidRPr="009F7FCE" w:rsidRDefault="00E90E49" w:rsidP="00B15362">
      <w:pPr>
        <w:pStyle w:val="3GPPHeader"/>
        <w:spacing w:after="0"/>
        <w:jc w:val="both"/>
        <w:rPr>
          <w:sz w:val="32"/>
          <w:szCs w:val="32"/>
          <w:highlight w:val="yellow"/>
        </w:rPr>
      </w:pPr>
      <w:r w:rsidRPr="009F7FCE">
        <w:t>3GPP TSG-RAN WG</w:t>
      </w:r>
      <w:r w:rsidR="008F1C4E" w:rsidRPr="009F7FCE">
        <w:t>1</w:t>
      </w:r>
      <w:r w:rsidRPr="009F7FCE">
        <w:t xml:space="preserve"> </w:t>
      </w:r>
      <w:r w:rsidR="008F1C4E" w:rsidRPr="009F7FCE">
        <w:t xml:space="preserve">Meeting </w:t>
      </w:r>
      <w:r w:rsidRPr="009F7FCE">
        <w:t>#</w:t>
      </w:r>
      <w:r w:rsidR="00CC7601" w:rsidRPr="009F7FCE">
        <w:t>103-e</w:t>
      </w:r>
      <w:r w:rsidRPr="009F7FCE">
        <w:tab/>
      </w:r>
      <w:r w:rsidR="00091557" w:rsidRPr="009F7FCE">
        <w:rPr>
          <w:sz w:val="32"/>
          <w:szCs w:val="32"/>
        </w:rPr>
        <w:t>R</w:t>
      </w:r>
      <w:r w:rsidR="008F1C4E" w:rsidRPr="009F7FCE">
        <w:rPr>
          <w:sz w:val="32"/>
          <w:szCs w:val="32"/>
        </w:rPr>
        <w:t>1</w:t>
      </w:r>
      <w:r w:rsidR="00091557" w:rsidRPr="009F7FCE">
        <w:rPr>
          <w:sz w:val="32"/>
          <w:szCs w:val="32"/>
        </w:rPr>
        <w:t>-</w:t>
      </w:r>
      <w:r w:rsidR="0065737A" w:rsidRPr="009F7FCE">
        <w:rPr>
          <w:sz w:val="32"/>
          <w:szCs w:val="32"/>
        </w:rPr>
        <w:t>20</w:t>
      </w:r>
      <w:r w:rsidR="00025B56" w:rsidRPr="009F7FCE">
        <w:rPr>
          <w:sz w:val="32"/>
          <w:szCs w:val="32"/>
        </w:rPr>
        <w:t>09301</w:t>
      </w:r>
    </w:p>
    <w:p w14:paraId="1AC6BE1E" w14:textId="51B07AA9" w:rsidR="00E90E49" w:rsidRPr="009F7FCE" w:rsidRDefault="004A612A" w:rsidP="00B15362">
      <w:pPr>
        <w:pStyle w:val="3GPPHeader"/>
        <w:jc w:val="both"/>
      </w:pPr>
      <w:proofErr w:type="spellStart"/>
      <w:r w:rsidRPr="00680ECD">
        <w:t>eMeeting</w:t>
      </w:r>
      <w:proofErr w:type="spellEnd"/>
      <w:r w:rsidR="0027144F" w:rsidRPr="00680ECD">
        <w:t xml:space="preserve">, </w:t>
      </w:r>
      <w:r w:rsidRPr="00680ECD">
        <w:t>October 26</w:t>
      </w:r>
      <w:r w:rsidR="001D53E7" w:rsidRPr="00680ECD">
        <w:rPr>
          <w:vertAlign w:val="superscript"/>
        </w:rPr>
        <w:t>th</w:t>
      </w:r>
      <w:r w:rsidR="001D53E7" w:rsidRPr="00680ECD">
        <w:t xml:space="preserve"> – </w:t>
      </w:r>
      <w:r w:rsidRPr="00680ECD">
        <w:t>November</w:t>
      </w:r>
      <w:r w:rsidR="00C37CB2" w:rsidRPr="00680ECD">
        <w:t xml:space="preserve"> </w:t>
      </w:r>
      <w:r w:rsidRPr="00680ECD">
        <w:t>13</w:t>
      </w:r>
      <w:r w:rsidRPr="00680ECD">
        <w:rPr>
          <w:vertAlign w:val="superscript"/>
        </w:rPr>
        <w:t>th</w:t>
      </w:r>
      <w:r w:rsidRPr="00680ECD">
        <w:t xml:space="preserve">, </w:t>
      </w:r>
      <w:r w:rsidR="0027144F" w:rsidRPr="00680ECD">
        <w:t>20</w:t>
      </w:r>
      <w:r w:rsidRPr="00680ECD">
        <w:t>20</w:t>
      </w:r>
    </w:p>
    <w:p w14:paraId="55784603" w14:textId="77777777" w:rsidR="00E90E49" w:rsidRPr="009F7FCE" w:rsidRDefault="00E90E49" w:rsidP="00B15362">
      <w:pPr>
        <w:pStyle w:val="3GPPHeader"/>
        <w:jc w:val="both"/>
      </w:pPr>
    </w:p>
    <w:p w14:paraId="0222CC04" w14:textId="29334D21" w:rsidR="00E90E49" w:rsidRPr="009F7FCE" w:rsidRDefault="00E90E49" w:rsidP="00B15362">
      <w:pPr>
        <w:pStyle w:val="3GPPHeader"/>
        <w:jc w:val="both"/>
      </w:pPr>
      <w:r w:rsidRPr="009F7FCE">
        <w:t>Agenda Item:</w:t>
      </w:r>
      <w:r w:rsidRPr="009F7FCE">
        <w:tab/>
      </w:r>
      <w:r w:rsidR="00CA268E" w:rsidRPr="009F7FCE">
        <w:t>8.10.1</w:t>
      </w:r>
    </w:p>
    <w:p w14:paraId="0BF970A6" w14:textId="77777777" w:rsidR="00E90E49" w:rsidRPr="009F7FCE" w:rsidRDefault="003D3C45" w:rsidP="00B15362">
      <w:pPr>
        <w:pStyle w:val="3GPPHeader"/>
        <w:jc w:val="both"/>
      </w:pPr>
      <w:r w:rsidRPr="009F7FCE">
        <w:t>Source:</w:t>
      </w:r>
      <w:r w:rsidR="00E90E49" w:rsidRPr="009F7FCE">
        <w:tab/>
      </w:r>
      <w:r w:rsidR="00F64C2B" w:rsidRPr="009F7FCE">
        <w:t>Ericsson</w:t>
      </w:r>
    </w:p>
    <w:p w14:paraId="7B6356D0" w14:textId="6E233F27" w:rsidR="00E90E49" w:rsidRPr="009F7FCE" w:rsidRDefault="003D3C45" w:rsidP="00B15362">
      <w:pPr>
        <w:pStyle w:val="3GPPHeader"/>
        <w:jc w:val="both"/>
      </w:pPr>
      <w:r w:rsidRPr="009F7FCE">
        <w:t>Title:</w:t>
      </w:r>
      <w:r w:rsidR="00E90E49" w:rsidRPr="009F7FCE">
        <w:tab/>
      </w:r>
      <w:r w:rsidR="003B53BE" w:rsidRPr="009F7FCE">
        <w:t>Resource multiplexing and DC in enhanced IAB</w:t>
      </w:r>
    </w:p>
    <w:p w14:paraId="2D065779" w14:textId="77777777" w:rsidR="00E90E49" w:rsidRPr="009F7FCE" w:rsidRDefault="00E90E49" w:rsidP="00B15362">
      <w:pPr>
        <w:pStyle w:val="3GPPHeader"/>
        <w:jc w:val="both"/>
      </w:pPr>
      <w:r w:rsidRPr="009F7FCE">
        <w:t>Document for:</w:t>
      </w:r>
      <w:r w:rsidRPr="009F7FCE">
        <w:tab/>
        <w:t>Discussion, Decision</w:t>
      </w:r>
    </w:p>
    <w:p w14:paraId="6756997E" w14:textId="77777777" w:rsidR="00E90E49" w:rsidRPr="009F7FCE" w:rsidRDefault="00E90E49" w:rsidP="00B15362">
      <w:pPr>
        <w:jc w:val="both"/>
      </w:pPr>
    </w:p>
    <w:p w14:paraId="004B5D21" w14:textId="77777777" w:rsidR="00E90E49" w:rsidRPr="009F7FCE" w:rsidRDefault="00E90E49" w:rsidP="00B15362">
      <w:pPr>
        <w:pStyle w:val="Heading1"/>
        <w:jc w:val="both"/>
        <w:rPr>
          <w:lang w:val="en-US"/>
        </w:rPr>
      </w:pPr>
      <w:r w:rsidRPr="009F7FCE">
        <w:rPr>
          <w:lang w:val="en-US"/>
        </w:rPr>
        <w:t>Introduction</w:t>
      </w:r>
    </w:p>
    <w:p w14:paraId="65B3AE66" w14:textId="234BDD30" w:rsidR="0065764B" w:rsidRPr="009F7FCE" w:rsidRDefault="0065764B" w:rsidP="00B15362">
      <w:pPr>
        <w:pStyle w:val="BodyText"/>
        <w:jc w:val="both"/>
        <w:rPr>
          <w:rFonts w:cs="Arial"/>
        </w:rPr>
      </w:pPr>
      <w:r w:rsidRPr="009F7FCE">
        <w:rPr>
          <w:rFonts w:cs="Arial"/>
        </w:rPr>
        <w:t>In RAN #88e, the following objectives of I</w:t>
      </w:r>
      <w:bookmarkStart w:id="0" w:name="_GoBack"/>
      <w:bookmarkEnd w:id="0"/>
      <w:r w:rsidRPr="009F7FCE">
        <w:rPr>
          <w:rFonts w:cs="Arial"/>
        </w:rPr>
        <w:t xml:space="preserve">AB work item regarding resource multiplexing were agreed </w:t>
      </w:r>
      <w:r w:rsidRPr="009F7FCE">
        <w:rPr>
          <w:rFonts w:cs="Arial"/>
        </w:rPr>
        <w:fldChar w:fldCharType="begin"/>
      </w:r>
      <w:r w:rsidRPr="009F7FCE">
        <w:rPr>
          <w:rFonts w:cs="Arial"/>
        </w:rPr>
        <w:instrText xml:space="preserve"> REF _Ref534962701 \r \h  \* MERGEFORMAT </w:instrText>
      </w:r>
      <w:r w:rsidRPr="009F7FCE">
        <w:rPr>
          <w:rFonts w:cs="Arial"/>
        </w:rPr>
      </w:r>
      <w:r w:rsidRPr="009F7FCE">
        <w:rPr>
          <w:rFonts w:cs="Arial"/>
        </w:rPr>
        <w:fldChar w:fldCharType="separate"/>
      </w:r>
      <w:r w:rsidR="005709C0">
        <w:rPr>
          <w:rFonts w:cs="Arial"/>
        </w:rPr>
        <w:t>[1]</w:t>
      </w:r>
      <w:r w:rsidRPr="009F7FCE">
        <w:rPr>
          <w:rFonts w:cs="Arial"/>
        </w:rPr>
        <w:fldChar w:fldCharType="end"/>
      </w:r>
      <w:r w:rsidRPr="009F7FCE">
        <w:rPr>
          <w:rFonts w:cs="Arial"/>
        </w:rPr>
        <w:t>:</w:t>
      </w:r>
    </w:p>
    <w:tbl>
      <w:tblPr>
        <w:tblStyle w:val="TableGrid"/>
        <w:tblW w:w="0" w:type="auto"/>
        <w:tblLook w:val="04A0" w:firstRow="1" w:lastRow="0" w:firstColumn="1" w:lastColumn="0" w:noHBand="0" w:noVBand="1"/>
      </w:tblPr>
      <w:tblGrid>
        <w:gridCol w:w="9629"/>
      </w:tblGrid>
      <w:tr w:rsidR="0065764B" w:rsidRPr="009F7FCE" w14:paraId="6837C705" w14:textId="77777777" w:rsidTr="005851CE">
        <w:tc>
          <w:tcPr>
            <w:tcW w:w="9629" w:type="dxa"/>
          </w:tcPr>
          <w:p w14:paraId="39366D33" w14:textId="77777777" w:rsidR="0065764B" w:rsidRPr="009F7FCE" w:rsidRDefault="0065764B" w:rsidP="00B15362">
            <w:pPr>
              <w:pStyle w:val="ListParagraph"/>
              <w:numPr>
                <w:ilvl w:val="0"/>
                <w:numId w:val="25"/>
              </w:numPr>
              <w:spacing w:before="120" w:after="180"/>
              <w:contextualSpacing/>
              <w:jc w:val="both"/>
              <w:rPr>
                <w:lang w:val="en-US"/>
              </w:rPr>
            </w:pPr>
            <w:r w:rsidRPr="009F7FCE">
              <w:rPr>
                <w:lang w:val="en-US"/>
              </w:rPr>
              <w:t>Specification of enhancements to the resource multiplexing between child and parent links of an IAB node, including:</w:t>
            </w:r>
          </w:p>
          <w:p w14:paraId="780817D0" w14:textId="77777777" w:rsidR="0065764B" w:rsidRPr="009F7FCE" w:rsidRDefault="0065764B" w:rsidP="00B15362">
            <w:pPr>
              <w:pStyle w:val="ListParagraph"/>
              <w:numPr>
                <w:ilvl w:val="1"/>
                <w:numId w:val="25"/>
              </w:numPr>
              <w:spacing w:before="120" w:after="180"/>
              <w:contextualSpacing/>
              <w:jc w:val="both"/>
              <w:rPr>
                <w:lang w:val="en-US"/>
              </w:rPr>
            </w:pPr>
            <w:r w:rsidRPr="009F7FCE">
              <w:rPr>
                <w:lang w:val="en-US"/>
              </w:rPr>
              <w:t>Support of simultaneous operation (transmission and/or reception) of IAB-node’s child and parent links (i.e., MT Tx/DU Tx, MT Tx/DU Rx, MT Rx/DU Tx, MT Rx/DU Rx).</w:t>
            </w:r>
          </w:p>
          <w:p w14:paraId="6986820B" w14:textId="77777777" w:rsidR="0065764B" w:rsidRPr="009F7FCE" w:rsidRDefault="0065764B" w:rsidP="00B15362">
            <w:pPr>
              <w:pStyle w:val="ListParagraph"/>
              <w:numPr>
                <w:ilvl w:val="1"/>
                <w:numId w:val="25"/>
              </w:numPr>
              <w:spacing w:before="120" w:after="180"/>
              <w:contextualSpacing/>
              <w:jc w:val="both"/>
              <w:rPr>
                <w:lang w:val="en-US"/>
              </w:rPr>
            </w:pPr>
            <w:r w:rsidRPr="009F7FCE">
              <w:rPr>
                <w:lang w:val="en-US"/>
              </w:rPr>
              <w:t>Support for dual-connectivity scenarios defined by RAN2/RAN3 in the context of topology redundancy for improved robustness and load balancing.</w:t>
            </w:r>
          </w:p>
        </w:tc>
      </w:tr>
    </w:tbl>
    <w:p w14:paraId="6640731C" w14:textId="181FA191" w:rsidR="00477768" w:rsidRPr="009F7FCE" w:rsidRDefault="00477768" w:rsidP="00B15362">
      <w:pPr>
        <w:pStyle w:val="BodyText"/>
        <w:jc w:val="both"/>
      </w:pPr>
    </w:p>
    <w:p w14:paraId="1085E6F5" w14:textId="4D92A9D0" w:rsidR="00426DF7" w:rsidRPr="009F7FCE" w:rsidRDefault="00426DF7" w:rsidP="00B15362">
      <w:pPr>
        <w:pStyle w:val="BodyText"/>
        <w:jc w:val="both"/>
      </w:pPr>
      <w:r w:rsidRPr="009F7FCE">
        <w:t xml:space="preserve">In RAN1#102-e meeting, the following agreements on enhancements to resource multiplexing between child and parent links of an </w:t>
      </w:r>
      <w:r w:rsidR="00A33CF4">
        <w:t>IAB-node</w:t>
      </w:r>
      <w:r w:rsidRPr="009F7FCE">
        <w:t xml:space="preserve"> were achieved </w:t>
      </w:r>
      <w:r w:rsidR="005E5219" w:rsidRPr="009F7FCE">
        <w:fldChar w:fldCharType="begin"/>
      </w:r>
      <w:r w:rsidR="005E5219" w:rsidRPr="009F7FCE">
        <w:instrText xml:space="preserve"> REF _Ref54344685 \r \h </w:instrText>
      </w:r>
      <w:r w:rsidR="00B15362" w:rsidRPr="009F7FCE">
        <w:instrText xml:space="preserve"> \* MERGEFORMAT </w:instrText>
      </w:r>
      <w:r w:rsidR="005E5219" w:rsidRPr="009F7FCE">
        <w:fldChar w:fldCharType="separate"/>
      </w:r>
      <w:r w:rsidR="005709C0">
        <w:t>[2]</w:t>
      </w:r>
      <w:r w:rsidR="005E5219" w:rsidRPr="009F7FCE">
        <w:fldChar w:fldCharType="end"/>
      </w:r>
      <w:r w:rsidRPr="009F7FCE">
        <w:t>:</w:t>
      </w:r>
    </w:p>
    <w:tbl>
      <w:tblPr>
        <w:tblStyle w:val="TableGrid"/>
        <w:tblW w:w="0" w:type="auto"/>
        <w:tblLook w:val="04A0" w:firstRow="1" w:lastRow="0" w:firstColumn="1" w:lastColumn="0" w:noHBand="0" w:noVBand="1"/>
      </w:tblPr>
      <w:tblGrid>
        <w:gridCol w:w="9629"/>
      </w:tblGrid>
      <w:tr w:rsidR="00426DF7" w:rsidRPr="009F7FCE" w14:paraId="25952736" w14:textId="77777777" w:rsidTr="00AB1340">
        <w:tc>
          <w:tcPr>
            <w:tcW w:w="9629" w:type="dxa"/>
          </w:tcPr>
          <w:p w14:paraId="4586A937" w14:textId="77777777" w:rsidR="00426DF7" w:rsidRPr="009F7FCE" w:rsidRDefault="00426DF7" w:rsidP="00B15362">
            <w:pPr>
              <w:jc w:val="both"/>
              <w:rPr>
                <w:b/>
                <w:bCs/>
                <w:lang w:eastAsia="x-none"/>
              </w:rPr>
            </w:pPr>
            <w:r w:rsidRPr="009F7FCE">
              <w:rPr>
                <w:b/>
                <w:bCs/>
                <w:highlight w:val="green"/>
                <w:lang w:eastAsia="x-none"/>
              </w:rPr>
              <w:t>Agreement</w:t>
            </w:r>
          </w:p>
          <w:p w14:paraId="5A168B34" w14:textId="77777777" w:rsidR="00426DF7" w:rsidRPr="009F7FCE" w:rsidRDefault="00426DF7" w:rsidP="00B15362">
            <w:pPr>
              <w:jc w:val="both"/>
              <w:rPr>
                <w:rFonts w:eastAsia="Calibri" w:cs="Times"/>
                <w:szCs w:val="20"/>
              </w:rPr>
            </w:pPr>
            <w:r w:rsidRPr="009F7FCE">
              <w:rPr>
                <w:rFonts w:eastAsia="Calibri" w:cs="Times"/>
                <w:szCs w:val="20"/>
              </w:rPr>
              <w:t>At least existing Rel-16 bands supporting IAB can be considered when evaluating the feasibility/impact of supporting different multiplexing cases.</w:t>
            </w:r>
          </w:p>
          <w:p w14:paraId="2DE73D22" w14:textId="77777777" w:rsidR="00426DF7" w:rsidRPr="009F7FCE" w:rsidRDefault="00426DF7" w:rsidP="00B15362">
            <w:pPr>
              <w:jc w:val="both"/>
              <w:rPr>
                <w:rFonts w:eastAsia="Batang" w:cs="Times New Roman"/>
                <w:lang w:eastAsia="x-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6"/>
            </w:tblGrid>
            <w:tr w:rsidR="00426DF7" w:rsidRPr="009F7FCE" w14:paraId="5C73E2A2" w14:textId="77777777" w:rsidTr="00AB1340">
              <w:trPr>
                <w:trHeight w:val="95"/>
                <w:jc w:val="center"/>
              </w:trPr>
              <w:tc>
                <w:tcPr>
                  <w:tcW w:w="4236"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1B2102C4" w14:textId="77777777" w:rsidR="00426DF7" w:rsidRPr="009F7FCE" w:rsidRDefault="00426DF7" w:rsidP="00B15362">
                  <w:pPr>
                    <w:spacing w:after="120" w:line="276" w:lineRule="auto"/>
                    <w:jc w:val="both"/>
                    <w:rPr>
                      <w:b/>
                    </w:rPr>
                  </w:pPr>
                  <w:r w:rsidRPr="009F7FCE">
                    <w:rPr>
                      <w:b/>
                    </w:rPr>
                    <w:t>Simultaneous operations</w:t>
                  </w:r>
                </w:p>
              </w:tc>
            </w:tr>
            <w:tr w:rsidR="00426DF7" w:rsidRPr="009F7FCE" w14:paraId="3D45E975" w14:textId="77777777" w:rsidTr="00AB1340">
              <w:trPr>
                <w:trHeight w:val="475"/>
                <w:jc w:val="center"/>
              </w:trPr>
              <w:tc>
                <w:tcPr>
                  <w:tcW w:w="4236" w:type="dxa"/>
                  <w:tcBorders>
                    <w:top w:val="single" w:sz="4" w:space="0" w:color="auto"/>
                    <w:left w:val="single" w:sz="4" w:space="0" w:color="auto"/>
                    <w:bottom w:val="single" w:sz="4" w:space="0" w:color="auto"/>
                    <w:right w:val="single" w:sz="4" w:space="0" w:color="auto"/>
                  </w:tcBorders>
                  <w:hideMark/>
                </w:tcPr>
                <w:p w14:paraId="64CA3AFD" w14:textId="1C790765" w:rsidR="00426DF7" w:rsidRPr="009F7FCE" w:rsidRDefault="00426DF7" w:rsidP="00B15362">
                  <w:pPr>
                    <w:spacing w:after="120" w:line="276" w:lineRule="auto"/>
                    <w:jc w:val="both"/>
                    <w:rPr>
                      <w:b/>
                    </w:rPr>
                  </w:pPr>
                  <w:r w:rsidRPr="009F7FCE">
                    <w:rPr>
                      <w:noProof/>
                      <w:lang w:eastAsia="ko-KR"/>
                    </w:rPr>
                    <w:drawing>
                      <wp:inline distT="0" distB="0" distL="0" distR="0" wp14:anchorId="6A12088C" wp14:editId="06483DD7">
                        <wp:extent cx="2552700" cy="1247775"/>
                        <wp:effectExtent l="0" t="0" r="0" b="9525"/>
                        <wp:docPr id="5" name="Pictur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52700" cy="1247775"/>
                                </a:xfrm>
                                <a:prstGeom prst="rect">
                                  <a:avLst/>
                                </a:prstGeom>
                                <a:noFill/>
                                <a:ln>
                                  <a:noFill/>
                                </a:ln>
                              </pic:spPr>
                            </pic:pic>
                          </a:graphicData>
                        </a:graphic>
                      </wp:inline>
                    </w:drawing>
                  </w:r>
                </w:p>
              </w:tc>
            </w:tr>
            <w:tr w:rsidR="00426DF7" w:rsidRPr="009F7FCE" w14:paraId="050EE9DF" w14:textId="77777777" w:rsidTr="00AB1340">
              <w:trPr>
                <w:trHeight w:val="583"/>
                <w:jc w:val="center"/>
              </w:trPr>
              <w:tc>
                <w:tcPr>
                  <w:tcW w:w="4236" w:type="dxa"/>
                  <w:tcBorders>
                    <w:top w:val="single" w:sz="4" w:space="0" w:color="auto"/>
                    <w:left w:val="single" w:sz="4" w:space="0" w:color="auto"/>
                    <w:bottom w:val="single" w:sz="4" w:space="0" w:color="auto"/>
                    <w:right w:val="single" w:sz="4" w:space="0" w:color="auto"/>
                  </w:tcBorders>
                  <w:hideMark/>
                </w:tcPr>
                <w:p w14:paraId="3E19F669" w14:textId="69804962" w:rsidR="00426DF7" w:rsidRPr="009F7FCE" w:rsidRDefault="00426DF7" w:rsidP="00B15362">
                  <w:pPr>
                    <w:spacing w:after="120" w:line="276" w:lineRule="auto"/>
                    <w:jc w:val="both"/>
                    <w:rPr>
                      <w:b/>
                    </w:rPr>
                  </w:pPr>
                  <w:r w:rsidRPr="009F7FCE">
                    <w:rPr>
                      <w:noProof/>
                      <w:lang w:eastAsia="ko-KR"/>
                    </w:rPr>
                    <w:lastRenderedPageBreak/>
                    <w:drawing>
                      <wp:inline distT="0" distB="0" distL="0" distR="0" wp14:anchorId="50DECAC9" wp14:editId="5F6CBC4A">
                        <wp:extent cx="2438400" cy="1552575"/>
                        <wp:effectExtent l="0" t="0" r="0" b="0"/>
                        <wp:docPr id="4"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38400" cy="1552575"/>
                                </a:xfrm>
                                <a:prstGeom prst="rect">
                                  <a:avLst/>
                                </a:prstGeom>
                                <a:noFill/>
                                <a:ln>
                                  <a:noFill/>
                                </a:ln>
                              </pic:spPr>
                            </pic:pic>
                          </a:graphicData>
                        </a:graphic>
                      </wp:inline>
                    </w:drawing>
                  </w:r>
                </w:p>
              </w:tc>
            </w:tr>
            <w:tr w:rsidR="00426DF7" w:rsidRPr="009F7FCE" w14:paraId="2695527F" w14:textId="77777777" w:rsidTr="00AB1340">
              <w:trPr>
                <w:trHeight w:val="550"/>
                <w:jc w:val="center"/>
              </w:trPr>
              <w:tc>
                <w:tcPr>
                  <w:tcW w:w="4236" w:type="dxa"/>
                  <w:tcBorders>
                    <w:top w:val="single" w:sz="4" w:space="0" w:color="auto"/>
                    <w:left w:val="single" w:sz="4" w:space="0" w:color="auto"/>
                    <w:bottom w:val="single" w:sz="4" w:space="0" w:color="auto"/>
                    <w:right w:val="single" w:sz="4" w:space="0" w:color="auto"/>
                  </w:tcBorders>
                  <w:hideMark/>
                </w:tcPr>
                <w:p w14:paraId="282ECDAE" w14:textId="717E2A2B" w:rsidR="00426DF7" w:rsidRPr="009F7FCE" w:rsidRDefault="00426DF7" w:rsidP="00B15362">
                  <w:pPr>
                    <w:spacing w:after="120" w:line="276" w:lineRule="auto"/>
                    <w:jc w:val="both"/>
                    <w:rPr>
                      <w:b/>
                    </w:rPr>
                  </w:pPr>
                  <w:r w:rsidRPr="009F7FCE">
                    <w:rPr>
                      <w:noProof/>
                      <w:lang w:eastAsia="ko-KR"/>
                    </w:rPr>
                    <w:drawing>
                      <wp:inline distT="0" distB="0" distL="0" distR="0" wp14:anchorId="0E165864" wp14:editId="37F29D02">
                        <wp:extent cx="2409825" cy="1457325"/>
                        <wp:effectExtent l="0" t="0" r="9525"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09825" cy="1457325"/>
                                </a:xfrm>
                                <a:prstGeom prst="rect">
                                  <a:avLst/>
                                </a:prstGeom>
                                <a:noFill/>
                                <a:ln>
                                  <a:noFill/>
                                </a:ln>
                              </pic:spPr>
                            </pic:pic>
                          </a:graphicData>
                        </a:graphic>
                      </wp:inline>
                    </w:drawing>
                  </w:r>
                </w:p>
              </w:tc>
            </w:tr>
            <w:tr w:rsidR="00426DF7" w:rsidRPr="009F7FCE" w14:paraId="6462509E" w14:textId="77777777" w:rsidTr="00AB1340">
              <w:trPr>
                <w:trHeight w:val="594"/>
                <w:jc w:val="center"/>
              </w:trPr>
              <w:tc>
                <w:tcPr>
                  <w:tcW w:w="4236" w:type="dxa"/>
                  <w:tcBorders>
                    <w:top w:val="single" w:sz="4" w:space="0" w:color="auto"/>
                    <w:left w:val="single" w:sz="4" w:space="0" w:color="auto"/>
                    <w:bottom w:val="single" w:sz="4" w:space="0" w:color="auto"/>
                    <w:right w:val="single" w:sz="4" w:space="0" w:color="auto"/>
                  </w:tcBorders>
                  <w:hideMark/>
                </w:tcPr>
                <w:p w14:paraId="498A9426" w14:textId="7F2CB924" w:rsidR="00426DF7" w:rsidRPr="009F7FCE" w:rsidRDefault="00426DF7" w:rsidP="00B15362">
                  <w:pPr>
                    <w:spacing w:after="120" w:line="276" w:lineRule="auto"/>
                    <w:jc w:val="both"/>
                    <w:rPr>
                      <w:b/>
                    </w:rPr>
                  </w:pPr>
                  <w:r w:rsidRPr="009F7FCE">
                    <w:rPr>
                      <w:noProof/>
                      <w:lang w:eastAsia="ko-KR"/>
                    </w:rPr>
                    <w:drawing>
                      <wp:inline distT="0" distB="0" distL="0" distR="0" wp14:anchorId="0A499FDD" wp14:editId="65300B41">
                        <wp:extent cx="2486025" cy="1590675"/>
                        <wp:effectExtent l="0" t="0" r="9525"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86025" cy="1590675"/>
                                </a:xfrm>
                                <a:prstGeom prst="rect">
                                  <a:avLst/>
                                </a:prstGeom>
                                <a:noFill/>
                                <a:ln>
                                  <a:noFill/>
                                </a:ln>
                              </pic:spPr>
                            </pic:pic>
                          </a:graphicData>
                        </a:graphic>
                      </wp:inline>
                    </w:drawing>
                  </w:r>
                </w:p>
              </w:tc>
            </w:tr>
          </w:tbl>
          <w:p w14:paraId="08D9EA1C" w14:textId="77777777" w:rsidR="00426DF7" w:rsidRPr="009F7FCE" w:rsidRDefault="00426DF7" w:rsidP="00B15362">
            <w:pPr>
              <w:contextualSpacing/>
              <w:jc w:val="both"/>
            </w:pPr>
          </w:p>
          <w:p w14:paraId="4075F84F" w14:textId="77777777" w:rsidR="00426DF7" w:rsidRPr="009F7FCE" w:rsidRDefault="00426DF7" w:rsidP="00B15362">
            <w:pPr>
              <w:jc w:val="both"/>
              <w:rPr>
                <w:rFonts w:eastAsia="Calibri" w:cs="Times"/>
                <w:b/>
                <w:szCs w:val="20"/>
                <w:highlight w:val="green"/>
              </w:rPr>
            </w:pPr>
            <w:r w:rsidRPr="009F7FCE">
              <w:rPr>
                <w:rFonts w:eastAsia="Calibri" w:cs="Times"/>
                <w:b/>
                <w:bCs/>
                <w:szCs w:val="20"/>
                <w:highlight w:val="green"/>
              </w:rPr>
              <w:t>Agreement</w:t>
            </w:r>
          </w:p>
          <w:p w14:paraId="08C3C7CB" w14:textId="77777777" w:rsidR="00426DF7" w:rsidRPr="009F7FCE" w:rsidRDefault="00426DF7" w:rsidP="00B15362">
            <w:pPr>
              <w:jc w:val="both"/>
              <w:rPr>
                <w:rFonts w:eastAsia="Calibri" w:cs="Times"/>
                <w:szCs w:val="20"/>
              </w:rPr>
            </w:pPr>
            <w:r w:rsidRPr="009F7FCE">
              <w:rPr>
                <w:rFonts w:eastAsia="Calibri" w:cs="Times"/>
                <w:szCs w:val="20"/>
              </w:rPr>
              <w:t xml:space="preserve">The Rel-16 semi-static and dynamic resource allocation mechanisms are the starting point for supporting Rel-17 multiplexing cases. </w:t>
            </w:r>
          </w:p>
          <w:p w14:paraId="59D46919" w14:textId="77777777" w:rsidR="00426DF7" w:rsidRPr="009F7FCE" w:rsidRDefault="00426DF7" w:rsidP="00B15362">
            <w:pPr>
              <w:pStyle w:val="ListParagraph"/>
              <w:numPr>
                <w:ilvl w:val="0"/>
                <w:numId w:val="28"/>
              </w:numPr>
              <w:contextualSpacing/>
              <w:jc w:val="both"/>
              <w:rPr>
                <w:rFonts w:cs="Times"/>
                <w:szCs w:val="20"/>
                <w:lang w:val="en-US"/>
              </w:rPr>
            </w:pPr>
            <w:r w:rsidRPr="009F7FCE">
              <w:rPr>
                <w:rFonts w:cs="Times"/>
                <w:szCs w:val="20"/>
                <w:lang w:val="en-US"/>
              </w:rPr>
              <w:t>FFS: Applicability for different IAB-DU resource types</w:t>
            </w:r>
          </w:p>
          <w:p w14:paraId="44D0C052" w14:textId="77777777" w:rsidR="00426DF7" w:rsidRPr="009F7FCE" w:rsidRDefault="00426DF7" w:rsidP="00B15362">
            <w:pPr>
              <w:pStyle w:val="ListParagraph"/>
              <w:numPr>
                <w:ilvl w:val="0"/>
                <w:numId w:val="28"/>
              </w:numPr>
              <w:contextualSpacing/>
              <w:jc w:val="both"/>
              <w:rPr>
                <w:rFonts w:cs="Times"/>
                <w:szCs w:val="20"/>
                <w:lang w:val="en-US"/>
              </w:rPr>
            </w:pPr>
            <w:r w:rsidRPr="009F7FCE">
              <w:rPr>
                <w:rFonts w:cs="Times"/>
                <w:szCs w:val="20"/>
                <w:lang w:val="en-US"/>
              </w:rPr>
              <w:t>FFS: Cell-specific/semi-static signals and channels at the IAB-DU and/or IAB-MT</w:t>
            </w:r>
          </w:p>
          <w:p w14:paraId="176ED445" w14:textId="77777777" w:rsidR="00426DF7" w:rsidRPr="009F7FCE" w:rsidRDefault="00426DF7" w:rsidP="00B15362">
            <w:pPr>
              <w:jc w:val="both"/>
              <w:rPr>
                <w:rFonts w:eastAsia="Calibri" w:cs="Times"/>
                <w:b/>
                <w:bCs/>
                <w:szCs w:val="20"/>
                <w:highlight w:val="yellow"/>
              </w:rPr>
            </w:pPr>
          </w:p>
          <w:p w14:paraId="11D223AD" w14:textId="77777777" w:rsidR="00426DF7" w:rsidRPr="009F7FCE" w:rsidRDefault="00426DF7" w:rsidP="00B15362">
            <w:pPr>
              <w:jc w:val="both"/>
              <w:rPr>
                <w:rFonts w:eastAsia="Calibri" w:cs="Times"/>
                <w:b/>
                <w:bCs/>
                <w:szCs w:val="20"/>
                <w:highlight w:val="green"/>
              </w:rPr>
            </w:pPr>
            <w:r w:rsidRPr="009F7FCE">
              <w:rPr>
                <w:rFonts w:eastAsia="Calibri" w:cs="Times"/>
                <w:b/>
                <w:bCs/>
                <w:szCs w:val="20"/>
                <w:highlight w:val="green"/>
              </w:rPr>
              <w:t>Agreement</w:t>
            </w:r>
          </w:p>
          <w:p w14:paraId="45AF57B3" w14:textId="77777777" w:rsidR="00426DF7" w:rsidRPr="009F7FCE" w:rsidRDefault="00426DF7" w:rsidP="00B15362">
            <w:pPr>
              <w:pStyle w:val="ListParagraph"/>
              <w:numPr>
                <w:ilvl w:val="0"/>
                <w:numId w:val="29"/>
              </w:numPr>
              <w:contextualSpacing/>
              <w:jc w:val="both"/>
              <w:rPr>
                <w:rFonts w:cs="Times"/>
                <w:szCs w:val="20"/>
                <w:lang w:val="en-US"/>
              </w:rPr>
            </w:pPr>
            <w:r w:rsidRPr="009F7FCE">
              <w:rPr>
                <w:rFonts w:cs="Times"/>
                <w:szCs w:val="20"/>
                <w:lang w:val="en-US"/>
              </w:rPr>
              <w:t>Based on the WID, the following multiplexing cases are in scope for potential support in Rel-17:</w:t>
            </w:r>
          </w:p>
          <w:p w14:paraId="72C43C2D" w14:textId="77777777" w:rsidR="00426DF7" w:rsidRPr="009F7FCE" w:rsidRDefault="00426DF7" w:rsidP="00B15362">
            <w:pPr>
              <w:pStyle w:val="ListParagraph"/>
              <w:numPr>
                <w:ilvl w:val="1"/>
                <w:numId w:val="29"/>
              </w:numPr>
              <w:contextualSpacing/>
              <w:jc w:val="both"/>
              <w:rPr>
                <w:rFonts w:eastAsia="Batang" w:cs="Times"/>
                <w:color w:val="000000"/>
                <w:szCs w:val="20"/>
                <w:lang w:val="en-US"/>
              </w:rPr>
            </w:pPr>
            <w:r w:rsidRPr="009F7FCE">
              <w:rPr>
                <w:rFonts w:cs="Times"/>
                <w:color w:val="000000"/>
                <w:szCs w:val="20"/>
                <w:lang w:val="en-US"/>
              </w:rPr>
              <w:t xml:space="preserve">Multiplexing Case A: Simultaneous MT-Tx/DU-Tx </w:t>
            </w:r>
          </w:p>
          <w:p w14:paraId="6D45757E" w14:textId="77777777" w:rsidR="00426DF7" w:rsidRPr="009F7FCE" w:rsidRDefault="00426DF7" w:rsidP="00B15362">
            <w:pPr>
              <w:pStyle w:val="ListParagraph"/>
              <w:numPr>
                <w:ilvl w:val="1"/>
                <w:numId w:val="29"/>
              </w:numPr>
              <w:contextualSpacing/>
              <w:jc w:val="both"/>
              <w:rPr>
                <w:rFonts w:cs="Times"/>
                <w:color w:val="000000"/>
                <w:szCs w:val="20"/>
                <w:lang w:val="en-US"/>
              </w:rPr>
            </w:pPr>
            <w:r w:rsidRPr="009F7FCE">
              <w:rPr>
                <w:rFonts w:cs="Times"/>
                <w:color w:val="000000"/>
                <w:szCs w:val="20"/>
                <w:lang w:val="en-US"/>
              </w:rPr>
              <w:t xml:space="preserve">Multiplexing Case B: Simultaneous MT-Rx/DU-Rx </w:t>
            </w:r>
          </w:p>
          <w:p w14:paraId="1CB95963" w14:textId="77777777" w:rsidR="00426DF7" w:rsidRPr="009F7FCE" w:rsidRDefault="00426DF7" w:rsidP="00B15362">
            <w:pPr>
              <w:pStyle w:val="ListParagraph"/>
              <w:numPr>
                <w:ilvl w:val="1"/>
                <w:numId w:val="29"/>
              </w:numPr>
              <w:contextualSpacing/>
              <w:jc w:val="both"/>
              <w:rPr>
                <w:rFonts w:cs="Times"/>
                <w:color w:val="000000"/>
                <w:szCs w:val="20"/>
                <w:lang w:val="en-US"/>
              </w:rPr>
            </w:pPr>
            <w:r w:rsidRPr="009F7FCE">
              <w:rPr>
                <w:rFonts w:cs="Times"/>
                <w:color w:val="000000"/>
                <w:szCs w:val="20"/>
                <w:lang w:val="en-US"/>
              </w:rPr>
              <w:t xml:space="preserve">Multiplexing Case C: Simultaneous MT-Rx/DU-Tx </w:t>
            </w:r>
          </w:p>
          <w:p w14:paraId="0DA6F320" w14:textId="77777777" w:rsidR="00426DF7" w:rsidRPr="009F7FCE" w:rsidRDefault="00426DF7" w:rsidP="00B15362">
            <w:pPr>
              <w:pStyle w:val="ListParagraph"/>
              <w:numPr>
                <w:ilvl w:val="1"/>
                <w:numId w:val="29"/>
              </w:numPr>
              <w:contextualSpacing/>
              <w:jc w:val="both"/>
              <w:rPr>
                <w:rFonts w:cs="Times"/>
                <w:color w:val="000000"/>
                <w:szCs w:val="20"/>
                <w:lang w:val="en-US"/>
              </w:rPr>
            </w:pPr>
            <w:r w:rsidRPr="009F7FCE">
              <w:rPr>
                <w:rFonts w:cs="Times"/>
                <w:color w:val="000000"/>
                <w:szCs w:val="20"/>
                <w:lang w:val="en-US"/>
              </w:rPr>
              <w:t xml:space="preserve">Multiplexing Case D: Simultaneous MT-Tx/DU-Rx </w:t>
            </w:r>
          </w:p>
          <w:p w14:paraId="58C9C307" w14:textId="7BF10607" w:rsidR="00426DF7" w:rsidRPr="009F7FCE" w:rsidRDefault="00426DF7" w:rsidP="00B15362">
            <w:pPr>
              <w:pStyle w:val="ListParagraph"/>
              <w:numPr>
                <w:ilvl w:val="0"/>
                <w:numId w:val="29"/>
              </w:numPr>
              <w:contextualSpacing/>
              <w:jc w:val="both"/>
              <w:rPr>
                <w:rFonts w:cs="Times"/>
                <w:color w:val="000000"/>
                <w:szCs w:val="20"/>
                <w:lang w:val="en-US"/>
              </w:rPr>
            </w:pPr>
            <w:r w:rsidRPr="009F7FCE">
              <w:rPr>
                <w:rFonts w:cs="Times"/>
                <w:color w:val="000000"/>
                <w:szCs w:val="20"/>
                <w:lang w:val="en-US"/>
              </w:rPr>
              <w:t>Further study for Case A and Case B at least the following scenarios:</w:t>
            </w:r>
          </w:p>
          <w:p w14:paraId="4F4BCA6B" w14:textId="77777777" w:rsidR="00426DF7" w:rsidRPr="009F7FCE" w:rsidRDefault="00426DF7" w:rsidP="00B15362">
            <w:pPr>
              <w:pStyle w:val="ListParagraph"/>
              <w:numPr>
                <w:ilvl w:val="1"/>
                <w:numId w:val="29"/>
              </w:numPr>
              <w:contextualSpacing/>
              <w:jc w:val="both"/>
              <w:rPr>
                <w:rFonts w:cs="Times"/>
                <w:color w:val="000000"/>
                <w:szCs w:val="20"/>
                <w:lang w:val="en-US"/>
              </w:rPr>
            </w:pPr>
            <w:r w:rsidRPr="009F7FCE">
              <w:rPr>
                <w:rFonts w:cs="Times"/>
                <w:color w:val="000000"/>
                <w:szCs w:val="20"/>
                <w:lang w:val="en-US"/>
              </w:rPr>
              <w:t>Single or multi-panel IAB nodes operating in unpaired spectrum (FR1 and FR2 bands)</w:t>
            </w:r>
          </w:p>
          <w:p w14:paraId="29A153C6" w14:textId="77777777" w:rsidR="00426DF7" w:rsidRPr="009F7FCE" w:rsidRDefault="00426DF7" w:rsidP="00B15362">
            <w:pPr>
              <w:pStyle w:val="ListParagraph"/>
              <w:numPr>
                <w:ilvl w:val="0"/>
                <w:numId w:val="29"/>
              </w:numPr>
              <w:contextualSpacing/>
              <w:jc w:val="both"/>
              <w:rPr>
                <w:rFonts w:cs="Times"/>
                <w:color w:val="000000"/>
                <w:szCs w:val="20"/>
                <w:lang w:val="en-US"/>
              </w:rPr>
            </w:pPr>
            <w:r w:rsidRPr="009F7FCE">
              <w:rPr>
                <w:rFonts w:cs="Times"/>
                <w:color w:val="000000"/>
                <w:szCs w:val="20"/>
                <w:lang w:val="en-US"/>
              </w:rPr>
              <w:t>Further study for Case C and Case D at least for the following scenarios:</w:t>
            </w:r>
          </w:p>
          <w:p w14:paraId="2D1791CC" w14:textId="77777777" w:rsidR="00426DF7" w:rsidRPr="009F7FCE" w:rsidRDefault="00426DF7" w:rsidP="00B15362">
            <w:pPr>
              <w:pStyle w:val="ListParagraph"/>
              <w:numPr>
                <w:ilvl w:val="1"/>
                <w:numId w:val="29"/>
              </w:numPr>
              <w:contextualSpacing/>
              <w:jc w:val="both"/>
              <w:rPr>
                <w:rFonts w:cs="Times"/>
                <w:szCs w:val="20"/>
                <w:lang w:val="en-US"/>
              </w:rPr>
            </w:pPr>
            <w:r w:rsidRPr="009F7FCE">
              <w:rPr>
                <w:rFonts w:cs="Times"/>
                <w:color w:val="000000"/>
                <w:szCs w:val="20"/>
                <w:lang w:val="en-US"/>
              </w:rPr>
              <w:t xml:space="preserve">Multi-panel IAB nodes operating in unpaired spectrum (FR1 and FR2 bands) </w:t>
            </w:r>
          </w:p>
          <w:p w14:paraId="7C4101CB" w14:textId="744EBCBB" w:rsidR="00426DF7" w:rsidRPr="009F7FCE" w:rsidRDefault="00426DF7" w:rsidP="00B15362">
            <w:pPr>
              <w:pStyle w:val="ListParagraph"/>
              <w:numPr>
                <w:ilvl w:val="0"/>
                <w:numId w:val="29"/>
              </w:numPr>
              <w:contextualSpacing/>
              <w:jc w:val="both"/>
              <w:rPr>
                <w:rFonts w:cs="Times"/>
                <w:szCs w:val="20"/>
                <w:lang w:val="en-US"/>
              </w:rPr>
            </w:pPr>
            <w:r w:rsidRPr="009F7FCE">
              <w:rPr>
                <w:rFonts w:cs="Times"/>
                <w:szCs w:val="20"/>
                <w:lang w:val="en-US"/>
              </w:rPr>
              <w:lastRenderedPageBreak/>
              <w:t xml:space="preserve">FFS: Required level of specification impact to support the different cases. Any additional specification support in Rel-17 should be </w:t>
            </w:r>
            <w:r w:rsidRPr="009F7FCE">
              <w:rPr>
                <w:rFonts w:cs="Times"/>
                <w:color w:val="000000"/>
                <w:szCs w:val="20"/>
                <w:lang w:val="en-US"/>
              </w:rPr>
              <w:t xml:space="preserve">conditioned on feasibility from an interference and reliability perspective on a per-link and network basis </w:t>
            </w:r>
          </w:p>
          <w:p w14:paraId="0674457E" w14:textId="77777777" w:rsidR="00426DF7" w:rsidRPr="009F7FCE" w:rsidRDefault="00426DF7" w:rsidP="00B15362">
            <w:pPr>
              <w:contextualSpacing/>
              <w:jc w:val="both"/>
            </w:pPr>
          </w:p>
          <w:p w14:paraId="2575D8AA" w14:textId="77777777" w:rsidR="00426DF7" w:rsidRPr="009F7FCE" w:rsidRDefault="00426DF7" w:rsidP="00B15362">
            <w:pPr>
              <w:jc w:val="both"/>
              <w:rPr>
                <w:b/>
                <w:bCs/>
                <w:lang w:eastAsia="x-none"/>
              </w:rPr>
            </w:pPr>
            <w:r w:rsidRPr="009F7FCE">
              <w:rPr>
                <w:b/>
                <w:highlight w:val="darkGreen"/>
                <w:lang w:eastAsia="x-none"/>
              </w:rPr>
              <w:t>Conclusion</w:t>
            </w:r>
          </w:p>
          <w:p w14:paraId="36D706FE" w14:textId="51BB6CCB" w:rsidR="00426DF7" w:rsidRPr="009F7FCE" w:rsidRDefault="00426DF7" w:rsidP="00B15362">
            <w:pPr>
              <w:jc w:val="both"/>
              <w:rPr>
                <w:lang w:eastAsia="x-none"/>
              </w:rPr>
            </w:pPr>
            <w:r w:rsidRPr="009F7FCE">
              <w:rPr>
                <w:lang w:eastAsia="x-none"/>
              </w:rPr>
              <w:t>At least the inter-carrier DC scenario can be considered in Rel-17. Further discussion in RAN3/RAN Plenary may be necessary for the intra-carrier DC scenario.</w:t>
            </w:r>
          </w:p>
          <w:p w14:paraId="1E49827D" w14:textId="77777777" w:rsidR="00A82A5F" w:rsidRPr="009F7FCE" w:rsidRDefault="00A82A5F" w:rsidP="00B15362">
            <w:pPr>
              <w:jc w:val="both"/>
              <w:rPr>
                <w:lang w:eastAsia="x-none"/>
              </w:rPr>
            </w:pPr>
          </w:p>
          <w:p w14:paraId="72341171" w14:textId="77777777" w:rsidR="00426DF7" w:rsidRPr="009F7FCE" w:rsidRDefault="00426DF7" w:rsidP="00B15362">
            <w:pPr>
              <w:jc w:val="both"/>
              <w:rPr>
                <w:rFonts w:eastAsia="Calibri" w:cs="Times"/>
                <w:b/>
                <w:szCs w:val="20"/>
              </w:rPr>
            </w:pPr>
            <w:r w:rsidRPr="009F7FCE">
              <w:rPr>
                <w:rFonts w:eastAsia="Calibri" w:cs="Times"/>
                <w:b/>
                <w:bCs/>
                <w:szCs w:val="20"/>
                <w:highlight w:val="green"/>
              </w:rPr>
              <w:t>Agreement</w:t>
            </w:r>
          </w:p>
          <w:p w14:paraId="528E0DB7" w14:textId="77777777" w:rsidR="00426DF7" w:rsidRPr="009F7FCE" w:rsidRDefault="00426DF7" w:rsidP="00B15362">
            <w:pPr>
              <w:jc w:val="both"/>
              <w:rPr>
                <w:rFonts w:eastAsia="Calibri" w:cs="Times"/>
                <w:szCs w:val="20"/>
              </w:rPr>
            </w:pPr>
            <w:r w:rsidRPr="009F7FCE">
              <w:rPr>
                <w:rFonts w:eastAsia="Calibri" w:cs="Times"/>
                <w:szCs w:val="20"/>
              </w:rPr>
              <w:t xml:space="preserve">Reuse by IAB-MT of existing Inter-frequency DC is considered as a starting point to support concurrent BH links to two parents. </w:t>
            </w:r>
          </w:p>
          <w:p w14:paraId="2EB11473" w14:textId="77777777" w:rsidR="00426DF7" w:rsidRPr="009F7FCE" w:rsidRDefault="00426DF7" w:rsidP="00B15362">
            <w:pPr>
              <w:pStyle w:val="ListParagraph"/>
              <w:numPr>
                <w:ilvl w:val="0"/>
                <w:numId w:val="27"/>
              </w:numPr>
              <w:contextualSpacing/>
              <w:jc w:val="both"/>
              <w:rPr>
                <w:rFonts w:cs="Times"/>
                <w:szCs w:val="20"/>
                <w:lang w:val="en-US"/>
              </w:rPr>
            </w:pPr>
            <w:r w:rsidRPr="009F7FCE">
              <w:rPr>
                <w:rFonts w:cs="Times"/>
                <w:szCs w:val="20"/>
                <w:lang w:val="en-US"/>
              </w:rPr>
              <w:t>FFS: Reuse of multi-TRP transmission resource allocation features (if intra-</w:t>
            </w:r>
            <w:proofErr w:type="spellStart"/>
            <w:r w:rsidRPr="009F7FCE">
              <w:rPr>
                <w:rFonts w:cs="Times"/>
                <w:szCs w:val="20"/>
                <w:lang w:val="en-US"/>
              </w:rPr>
              <w:t>freq</w:t>
            </w:r>
            <w:proofErr w:type="spellEnd"/>
            <w:r w:rsidRPr="009F7FCE">
              <w:rPr>
                <w:rFonts w:cs="Times"/>
                <w:szCs w:val="20"/>
                <w:lang w:val="en-US"/>
              </w:rPr>
              <w:t xml:space="preserve"> DC scenario is supported for IAB)</w:t>
            </w:r>
          </w:p>
          <w:p w14:paraId="5A6A59FD" w14:textId="77777777" w:rsidR="00426DF7" w:rsidRPr="009F7FCE" w:rsidRDefault="00426DF7" w:rsidP="00B15362">
            <w:pPr>
              <w:pStyle w:val="ListParagraph"/>
              <w:numPr>
                <w:ilvl w:val="0"/>
                <w:numId w:val="27"/>
              </w:numPr>
              <w:contextualSpacing/>
              <w:jc w:val="both"/>
              <w:rPr>
                <w:rFonts w:cs="Times"/>
                <w:szCs w:val="20"/>
                <w:lang w:val="en-US"/>
              </w:rPr>
            </w:pPr>
            <w:r w:rsidRPr="009F7FCE">
              <w:rPr>
                <w:rFonts w:cs="Times"/>
                <w:szCs w:val="20"/>
                <w:lang w:val="en-US"/>
              </w:rPr>
              <w:t>FFS: Additional specification effort to support IAB</w:t>
            </w:r>
          </w:p>
          <w:p w14:paraId="450D2D71" w14:textId="550D9E07" w:rsidR="00426DF7" w:rsidRPr="009F7FCE" w:rsidRDefault="00426DF7" w:rsidP="00B15362">
            <w:pPr>
              <w:contextualSpacing/>
              <w:jc w:val="both"/>
            </w:pPr>
          </w:p>
        </w:tc>
      </w:tr>
    </w:tbl>
    <w:p w14:paraId="191D0D47" w14:textId="77777777" w:rsidR="00426DF7" w:rsidRPr="009F7FCE" w:rsidRDefault="00426DF7" w:rsidP="00B15362">
      <w:pPr>
        <w:pStyle w:val="BodyText"/>
        <w:jc w:val="both"/>
      </w:pPr>
    </w:p>
    <w:p w14:paraId="239220C5" w14:textId="760374C0" w:rsidR="005068D3" w:rsidRPr="009F7FCE" w:rsidRDefault="005068D3" w:rsidP="00B15362">
      <w:pPr>
        <w:pStyle w:val="BodyText"/>
        <w:jc w:val="both"/>
        <w:rPr>
          <w:rFonts w:cs="Arial"/>
        </w:rPr>
      </w:pPr>
      <w:r w:rsidRPr="009F7FCE">
        <w:rPr>
          <w:rFonts w:cs="Arial"/>
        </w:rPr>
        <w:t>In this contribution, we present our views on the prioritization of the different simultaneous operation modes and the dual-connectivity scenarios. Furthermore, the potential enhancement to DU configuration</w:t>
      </w:r>
      <w:r w:rsidR="00707823" w:rsidRPr="009F7FCE">
        <w:rPr>
          <w:rFonts w:cs="Arial"/>
        </w:rPr>
        <w:t xml:space="preserve"> on H/S/NA attributes and indication of multiplexing capabilities, are </w:t>
      </w:r>
      <w:r w:rsidRPr="009F7FCE">
        <w:rPr>
          <w:rFonts w:cs="Arial"/>
        </w:rPr>
        <w:t>discussed.</w:t>
      </w:r>
    </w:p>
    <w:p w14:paraId="73A1DC91" w14:textId="3C7B0B33" w:rsidR="005068D3" w:rsidRPr="009F7FCE" w:rsidRDefault="005068D3" w:rsidP="00B15362">
      <w:pPr>
        <w:pStyle w:val="BodyText"/>
        <w:jc w:val="both"/>
        <w:rPr>
          <w:rFonts w:cs="Arial"/>
        </w:rPr>
      </w:pPr>
      <w:r w:rsidRPr="009F7FCE">
        <w:rPr>
          <w:rFonts w:cs="Arial"/>
        </w:rPr>
        <w:t xml:space="preserve">Please see our accompanying paper on other enhancements for simultaneous child and parent link operation in IAB </w:t>
      </w:r>
      <w:r w:rsidRPr="009F7FCE">
        <w:rPr>
          <w:rFonts w:cs="Arial"/>
        </w:rPr>
        <w:fldChar w:fldCharType="begin"/>
      </w:r>
      <w:r w:rsidRPr="009F7FCE">
        <w:rPr>
          <w:rFonts w:cs="Arial"/>
        </w:rPr>
        <w:instrText xml:space="preserve"> REF _Ref54253737 \r \h </w:instrText>
      </w:r>
      <w:r w:rsidR="00B15362" w:rsidRPr="009F7FCE">
        <w:rPr>
          <w:rFonts w:cs="Arial"/>
        </w:rPr>
        <w:instrText xml:space="preserve"> \* MERGEFORMAT </w:instrText>
      </w:r>
      <w:r w:rsidRPr="009F7FCE">
        <w:rPr>
          <w:rFonts w:cs="Arial"/>
        </w:rPr>
      </w:r>
      <w:r w:rsidRPr="009F7FCE">
        <w:rPr>
          <w:rFonts w:cs="Arial"/>
        </w:rPr>
        <w:fldChar w:fldCharType="separate"/>
      </w:r>
      <w:r w:rsidR="005709C0">
        <w:rPr>
          <w:rFonts w:cs="Arial"/>
        </w:rPr>
        <w:t>[3]</w:t>
      </w:r>
      <w:r w:rsidRPr="009F7FCE">
        <w:rPr>
          <w:rFonts w:cs="Arial"/>
        </w:rPr>
        <w:fldChar w:fldCharType="end"/>
      </w:r>
      <w:r w:rsidRPr="009F7FCE">
        <w:rPr>
          <w:rFonts w:cs="Arial"/>
        </w:rPr>
        <w:t>.</w:t>
      </w:r>
    </w:p>
    <w:p w14:paraId="3EA3739B" w14:textId="446661B9" w:rsidR="007A7DCF" w:rsidRPr="009F7FCE" w:rsidRDefault="003B53BE" w:rsidP="00B15362">
      <w:pPr>
        <w:pStyle w:val="Heading1"/>
        <w:jc w:val="both"/>
        <w:rPr>
          <w:lang w:val="en-US"/>
        </w:rPr>
      </w:pPr>
      <w:r w:rsidRPr="009F7FCE">
        <w:rPr>
          <w:lang w:val="en-US"/>
        </w:rPr>
        <w:t>Resource multiplexing</w:t>
      </w:r>
    </w:p>
    <w:p w14:paraId="1F96D3BB" w14:textId="77777777" w:rsidR="007A7DCF" w:rsidRPr="009F7FCE" w:rsidRDefault="007A7DCF" w:rsidP="00B15362">
      <w:pPr>
        <w:pStyle w:val="Heading2"/>
        <w:tabs>
          <w:tab w:val="num" w:pos="576"/>
        </w:tabs>
        <w:jc w:val="both"/>
        <w:rPr>
          <w:lang w:val="en-US"/>
        </w:rPr>
      </w:pPr>
      <w:r w:rsidRPr="009F7FCE">
        <w:rPr>
          <w:lang w:val="en-US"/>
        </w:rPr>
        <w:t>Prioritization of operation modes</w:t>
      </w:r>
    </w:p>
    <w:bookmarkStart w:id="1" w:name="_Hlk53582887"/>
    <w:p w14:paraId="78457F47" w14:textId="6D59AFD7" w:rsidR="007A7DCF" w:rsidRPr="009F7FCE" w:rsidRDefault="007A7DCF" w:rsidP="00B15362">
      <w:pPr>
        <w:jc w:val="both"/>
      </w:pPr>
      <w:r w:rsidRPr="009F7FCE">
        <w:fldChar w:fldCharType="begin"/>
      </w:r>
      <w:r w:rsidRPr="009F7FCE">
        <w:instrText xml:space="preserve"> REF _Ref45570110 \h  \* MERGEFORMAT </w:instrText>
      </w:r>
      <w:r w:rsidRPr="009F7FCE">
        <w:fldChar w:fldCharType="separate"/>
      </w:r>
      <w:r w:rsidR="005709C0" w:rsidRPr="009F7FCE">
        <w:t xml:space="preserve">Figure </w:t>
      </w:r>
      <w:r w:rsidR="005709C0">
        <w:t>1</w:t>
      </w:r>
      <w:r w:rsidRPr="009F7FCE">
        <w:fldChar w:fldCharType="end"/>
      </w:r>
      <w:r w:rsidRPr="009F7FCE">
        <w:t xml:space="preserve"> shows the four simultaneous operation cases agreed after the RAN1 #102-e meeting </w:t>
      </w:r>
      <w:r w:rsidR="006A7BA0" w:rsidRPr="009F7FCE">
        <w:fldChar w:fldCharType="begin"/>
      </w:r>
      <w:r w:rsidR="006A7BA0" w:rsidRPr="009F7FCE">
        <w:instrText xml:space="preserve"> REF _Ref54344685 \r \h </w:instrText>
      </w:r>
      <w:r w:rsidR="00B15362" w:rsidRPr="009F7FCE">
        <w:instrText xml:space="preserve"> \* MERGEFORMAT </w:instrText>
      </w:r>
      <w:r w:rsidR="006A7BA0" w:rsidRPr="009F7FCE">
        <w:fldChar w:fldCharType="separate"/>
      </w:r>
      <w:r w:rsidR="005709C0">
        <w:t>[2]</w:t>
      </w:r>
      <w:r w:rsidR="006A7BA0" w:rsidRPr="009F7FCE">
        <w:fldChar w:fldCharType="end"/>
      </w:r>
      <w:r w:rsidRPr="009F7FCE">
        <w:t>:</w:t>
      </w:r>
    </w:p>
    <w:bookmarkEnd w:id="1"/>
    <w:p w14:paraId="1D30B889" w14:textId="77777777" w:rsidR="007A7DCF" w:rsidRPr="009F7FCE" w:rsidRDefault="007A7DCF" w:rsidP="00B15362">
      <w:pPr>
        <w:ind w:firstLine="360"/>
        <w:jc w:val="both"/>
      </w:pPr>
      <w:r w:rsidRPr="009F7FCE">
        <w:rPr>
          <w:b/>
        </w:rPr>
        <w:t>Case A:</w:t>
      </w:r>
      <w:r w:rsidRPr="009F7FCE">
        <w:t xml:space="preserve"> Simultaneous MT and DU TX, or </w:t>
      </w:r>
      <w:r w:rsidRPr="009F7FCE">
        <w:rPr>
          <w:i/>
        </w:rPr>
        <w:t>half-duplex transmission</w:t>
      </w:r>
    </w:p>
    <w:p w14:paraId="71242F6A" w14:textId="77777777" w:rsidR="007A7DCF" w:rsidRPr="009F7FCE" w:rsidRDefault="007A7DCF" w:rsidP="00B15362">
      <w:pPr>
        <w:ind w:firstLine="360"/>
        <w:jc w:val="both"/>
      </w:pPr>
      <w:r w:rsidRPr="009F7FCE">
        <w:rPr>
          <w:b/>
        </w:rPr>
        <w:t>Case B:</w:t>
      </w:r>
      <w:r w:rsidRPr="009F7FCE">
        <w:t xml:space="preserve"> Simultaneous MT and DU RX, or </w:t>
      </w:r>
      <w:r w:rsidRPr="009F7FCE">
        <w:rPr>
          <w:i/>
        </w:rPr>
        <w:t>half-duplex reception</w:t>
      </w:r>
    </w:p>
    <w:p w14:paraId="143BF8EF" w14:textId="77777777" w:rsidR="007A7DCF" w:rsidRPr="009F7FCE" w:rsidRDefault="007A7DCF" w:rsidP="00B15362">
      <w:pPr>
        <w:ind w:firstLine="360"/>
        <w:jc w:val="both"/>
      </w:pPr>
      <w:r w:rsidRPr="009F7FCE">
        <w:rPr>
          <w:b/>
        </w:rPr>
        <w:t>Case C:</w:t>
      </w:r>
      <w:r w:rsidRPr="009F7FCE">
        <w:t xml:space="preserve"> Simultaneous MT RX and DU TX, or </w:t>
      </w:r>
      <w:r w:rsidRPr="009F7FCE">
        <w:rPr>
          <w:i/>
        </w:rPr>
        <w:t xml:space="preserve">downstream </w:t>
      </w:r>
      <w:proofErr w:type="gramStart"/>
      <w:r w:rsidRPr="009F7FCE">
        <w:rPr>
          <w:i/>
        </w:rPr>
        <w:t>full-duplex</w:t>
      </w:r>
      <w:proofErr w:type="gramEnd"/>
    </w:p>
    <w:p w14:paraId="5BC9B360" w14:textId="77777777" w:rsidR="007A7DCF" w:rsidRPr="009F7FCE" w:rsidRDefault="007A7DCF" w:rsidP="00B15362">
      <w:pPr>
        <w:ind w:firstLine="360"/>
        <w:jc w:val="both"/>
      </w:pPr>
      <w:r w:rsidRPr="009F7FCE">
        <w:rPr>
          <w:b/>
        </w:rPr>
        <w:t>Case D:</w:t>
      </w:r>
      <w:r w:rsidRPr="009F7FCE">
        <w:t xml:space="preserve"> Simultaneous MT TX and DU RX, or </w:t>
      </w:r>
      <w:r w:rsidRPr="009F7FCE">
        <w:rPr>
          <w:i/>
        </w:rPr>
        <w:t xml:space="preserve">upstream </w:t>
      </w:r>
      <w:proofErr w:type="gramStart"/>
      <w:r w:rsidRPr="009F7FCE">
        <w:rPr>
          <w:i/>
        </w:rPr>
        <w:t>full-duplex</w:t>
      </w:r>
      <w:proofErr w:type="gramEnd"/>
    </w:p>
    <w:p w14:paraId="63F35FCF" w14:textId="77777777" w:rsidR="007A7DCF" w:rsidRPr="009F7FCE" w:rsidRDefault="007A7DCF" w:rsidP="00B15362">
      <w:pPr>
        <w:keepNext/>
        <w:jc w:val="both"/>
      </w:pPr>
      <w:r w:rsidRPr="009F7FCE">
        <w:rPr>
          <w:noProof/>
        </w:rPr>
        <w:lastRenderedPageBreak/>
        <w:drawing>
          <wp:inline distT="0" distB="0" distL="0" distR="0" wp14:anchorId="1FB9FA1E" wp14:editId="3CBD1529">
            <wp:extent cx="6120765" cy="4587875"/>
            <wp:effectExtent l="0" t="0" r="0" b="3175"/>
            <wp:docPr id="7" name="Picture 7"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multiplexing_201014.png"/>
                    <pic:cNvPicPr/>
                  </pic:nvPicPr>
                  <pic:blipFill>
                    <a:blip r:embed="rId12">
                      <a:extLst>
                        <a:ext uri="{28A0092B-C50C-407E-A947-70E740481C1C}">
                          <a14:useLocalDpi xmlns:a14="http://schemas.microsoft.com/office/drawing/2010/main" val="0"/>
                        </a:ext>
                      </a:extLst>
                    </a:blip>
                    <a:stretch>
                      <a:fillRect/>
                    </a:stretch>
                  </pic:blipFill>
                  <pic:spPr>
                    <a:xfrm>
                      <a:off x="0" y="0"/>
                      <a:ext cx="6120765" cy="4587875"/>
                    </a:xfrm>
                    <a:prstGeom prst="rect">
                      <a:avLst/>
                    </a:prstGeom>
                  </pic:spPr>
                </pic:pic>
              </a:graphicData>
            </a:graphic>
          </wp:inline>
        </w:drawing>
      </w:r>
    </w:p>
    <w:p w14:paraId="0AAF84A9" w14:textId="2F4B994D" w:rsidR="007A7DCF" w:rsidRPr="009F7FCE" w:rsidRDefault="007A7DCF" w:rsidP="00B15362">
      <w:pPr>
        <w:pStyle w:val="Caption"/>
        <w:jc w:val="both"/>
      </w:pPr>
      <w:bookmarkStart w:id="2" w:name="_Ref45570110"/>
      <w:r w:rsidRPr="009F7FCE">
        <w:t xml:space="preserve">Figure </w:t>
      </w:r>
      <w:r w:rsidRPr="009F7FCE">
        <w:fldChar w:fldCharType="begin"/>
      </w:r>
      <w:r w:rsidRPr="009F7FCE">
        <w:instrText xml:space="preserve"> SEQ Figure \* ARABIC </w:instrText>
      </w:r>
      <w:r w:rsidRPr="009F7FCE">
        <w:fldChar w:fldCharType="separate"/>
      </w:r>
      <w:r w:rsidR="005709C0">
        <w:rPr>
          <w:noProof/>
        </w:rPr>
        <w:t>1</w:t>
      </w:r>
      <w:r w:rsidRPr="009F7FCE">
        <w:rPr>
          <w:noProof/>
        </w:rPr>
        <w:fldChar w:fldCharType="end"/>
      </w:r>
      <w:bookmarkEnd w:id="2"/>
      <w:r w:rsidRPr="009F7FCE">
        <w:t>: Four simultaneous operation cases from the IAB WID.</w:t>
      </w:r>
    </w:p>
    <w:p w14:paraId="0A80EF8F" w14:textId="77777777" w:rsidR="007A7DCF" w:rsidRPr="009F7FCE" w:rsidRDefault="007A7DCF" w:rsidP="00B15362">
      <w:pPr>
        <w:jc w:val="both"/>
      </w:pPr>
    </w:p>
    <w:p w14:paraId="0F730237" w14:textId="77777777" w:rsidR="007A7DCF" w:rsidRPr="009F7FCE" w:rsidRDefault="007A7DCF" w:rsidP="00B15362">
      <w:pPr>
        <w:jc w:val="both"/>
      </w:pPr>
      <w:r w:rsidRPr="009F7FCE">
        <w:t xml:space="preserve">In an IAB context, </w:t>
      </w:r>
      <w:r w:rsidRPr="009F7FCE">
        <w:rPr>
          <w:i/>
        </w:rPr>
        <w:t>IAB half-duplex</w:t>
      </w:r>
      <w:r w:rsidRPr="009F7FCE">
        <w:t xml:space="preserve"> refers to</w:t>
      </w:r>
    </w:p>
    <w:p w14:paraId="4A28B379" w14:textId="77777777" w:rsidR="007A7DCF" w:rsidRPr="009F7FCE" w:rsidRDefault="007A7DCF" w:rsidP="00B15362">
      <w:pPr>
        <w:pStyle w:val="ListParagraph"/>
        <w:numPr>
          <w:ilvl w:val="0"/>
          <w:numId w:val="30"/>
        </w:numPr>
        <w:contextualSpacing/>
        <w:jc w:val="both"/>
        <w:rPr>
          <w:lang w:val="en-US"/>
        </w:rPr>
      </w:pPr>
      <w:r w:rsidRPr="009F7FCE">
        <w:rPr>
          <w:lang w:val="en-US"/>
        </w:rPr>
        <w:t>No simultaneous DU transmission (downlink) and MT reception (downlink), i.e., Case C, or</w:t>
      </w:r>
    </w:p>
    <w:p w14:paraId="167A0B57" w14:textId="77777777" w:rsidR="007A7DCF" w:rsidRPr="009F7FCE" w:rsidRDefault="007A7DCF" w:rsidP="00B15362">
      <w:pPr>
        <w:pStyle w:val="ListParagraph"/>
        <w:numPr>
          <w:ilvl w:val="0"/>
          <w:numId w:val="30"/>
        </w:numPr>
        <w:contextualSpacing/>
        <w:jc w:val="both"/>
        <w:rPr>
          <w:lang w:val="en-US"/>
        </w:rPr>
      </w:pPr>
      <w:r w:rsidRPr="009F7FCE">
        <w:rPr>
          <w:lang w:val="en-US"/>
        </w:rPr>
        <w:t>No simultaneous DU reception (uplink) and MT transmission (uplink), i.e., Case D</w:t>
      </w:r>
    </w:p>
    <w:p w14:paraId="3D408295" w14:textId="4E962A65" w:rsidR="007A7DCF" w:rsidRPr="009F7FCE" w:rsidRDefault="007A7DCF" w:rsidP="00B15362">
      <w:pPr>
        <w:jc w:val="both"/>
      </w:pPr>
      <w:r w:rsidRPr="009F7FCE">
        <w:t xml:space="preserve">which is different from the classic half-duplex on link level, i.e., no simultaneous Tx and Rx on the same link. Regarding the above four simultaneous-operation cases, Case A (simultaneous MT and DU TX) and Case B (simultaneous MT and DU RX) are characterized as IAB half-duplex operations, also referred to as transmitter side and receiver side IAB FDM/SDM, respectively </w:t>
      </w:r>
      <w:r w:rsidRPr="009F7FCE">
        <w:fldChar w:fldCharType="begin"/>
      </w:r>
      <w:r w:rsidRPr="009F7FCE">
        <w:instrText xml:space="preserve"> REF _Ref45782918 \r \h  \* MERGEFORMAT </w:instrText>
      </w:r>
      <w:r w:rsidRPr="009F7FCE">
        <w:fldChar w:fldCharType="separate"/>
      </w:r>
      <w:r w:rsidR="005709C0">
        <w:t>[4]</w:t>
      </w:r>
      <w:r w:rsidRPr="009F7FCE">
        <w:fldChar w:fldCharType="end"/>
      </w:r>
      <w:r w:rsidRPr="009F7FCE">
        <w:t xml:space="preserve">, see </w:t>
      </w:r>
      <w:r w:rsidRPr="009F7FCE">
        <w:fldChar w:fldCharType="begin"/>
      </w:r>
      <w:r w:rsidRPr="009F7FCE">
        <w:instrText xml:space="preserve"> REF _Ref45570110 \h </w:instrText>
      </w:r>
      <w:r w:rsidR="00FF3614" w:rsidRPr="009F7FCE">
        <w:instrText xml:space="preserve"> \* MERGEFORMAT </w:instrText>
      </w:r>
      <w:r w:rsidRPr="009F7FCE">
        <w:fldChar w:fldCharType="separate"/>
      </w:r>
      <w:r w:rsidR="005709C0" w:rsidRPr="009F7FCE">
        <w:t xml:space="preserve">Figure </w:t>
      </w:r>
      <w:r w:rsidR="005709C0">
        <w:t>1</w:t>
      </w:r>
      <w:r w:rsidRPr="009F7FCE">
        <w:fldChar w:fldCharType="end"/>
      </w:r>
      <w:r w:rsidRPr="009F7FCE">
        <w:t>. Technically, IAB FDM/SDM is feasible with today’s hardware, and thereby, enhancement to resource multiplexing for IAB FDM/SDM operations should be prioritized in Rel-17.</w:t>
      </w:r>
    </w:p>
    <w:p w14:paraId="6EDE60B3" w14:textId="51A8C334" w:rsidR="007A7DCF" w:rsidRPr="009F7FCE" w:rsidRDefault="007A7DCF" w:rsidP="00B15362">
      <w:pPr>
        <w:pStyle w:val="Proposal"/>
        <w:jc w:val="both"/>
      </w:pPr>
      <w:bookmarkStart w:id="3" w:name="_Toc45556920"/>
      <w:bookmarkStart w:id="4" w:name="_Toc45557143"/>
      <w:bookmarkStart w:id="5" w:name="_Toc45569693"/>
      <w:bookmarkStart w:id="6" w:name="_Toc45569738"/>
      <w:bookmarkStart w:id="7" w:name="_Toc45569902"/>
      <w:bookmarkStart w:id="8" w:name="_Toc45626237"/>
      <w:bookmarkStart w:id="9" w:name="_Toc45627446"/>
      <w:bookmarkStart w:id="10" w:name="_Toc45639179"/>
      <w:bookmarkStart w:id="11" w:name="_Toc45639247"/>
      <w:bookmarkStart w:id="12" w:name="_Toc45698715"/>
      <w:bookmarkStart w:id="13" w:name="_Toc45698528"/>
      <w:bookmarkStart w:id="14" w:name="_Toc45698540"/>
      <w:bookmarkStart w:id="15" w:name="_Toc45784683"/>
      <w:bookmarkStart w:id="16" w:name="_Toc45785257"/>
      <w:bookmarkStart w:id="17" w:name="_Toc45786033"/>
      <w:bookmarkStart w:id="18" w:name="_Toc46151861"/>
      <w:bookmarkStart w:id="19" w:name="_Toc46734756"/>
      <w:bookmarkStart w:id="20" w:name="_Toc47527059"/>
      <w:bookmarkStart w:id="21" w:name="_Toc47686289"/>
      <w:bookmarkStart w:id="22" w:name="_Toc47690387"/>
      <w:bookmarkStart w:id="23" w:name="_Toc47691757"/>
      <w:bookmarkStart w:id="24" w:name="_Toc47692219"/>
      <w:bookmarkStart w:id="25" w:name="_Toc47692312"/>
      <w:bookmarkStart w:id="26" w:name="_Toc47693428"/>
      <w:bookmarkStart w:id="27" w:name="_Toc47702391"/>
      <w:bookmarkStart w:id="28" w:name="_Toc47702954"/>
      <w:bookmarkStart w:id="29" w:name="_Toc47708270"/>
      <w:bookmarkStart w:id="30" w:name="_Toc47714238"/>
      <w:bookmarkStart w:id="31" w:name="_Toc47733727"/>
      <w:bookmarkStart w:id="32" w:name="_Toc47734081"/>
      <w:bookmarkStart w:id="33" w:name="_Toc54189372"/>
      <w:bookmarkStart w:id="34" w:name="_Toc54205956"/>
      <w:bookmarkStart w:id="35" w:name="_Toc54382821"/>
      <w:r w:rsidRPr="009F7FCE">
        <w:t xml:space="preserve">Simultaneous transmission based on FDM/SDM principles, i.e., </w:t>
      </w:r>
      <w:r w:rsidRPr="009F7FCE">
        <w:rPr>
          <w:i/>
        </w:rPr>
        <w:t>half-duplex transmission</w:t>
      </w:r>
      <w:r w:rsidRPr="009F7FCE">
        <w:t xml:space="preserve">, and simultaneous reception based on FDM/SDM principles, i.e., </w:t>
      </w:r>
      <w:r w:rsidRPr="009F7FCE">
        <w:rPr>
          <w:i/>
        </w:rPr>
        <w:t>half-duplex reception,</w:t>
      </w:r>
      <w:r w:rsidRPr="009F7FCE">
        <w:t xml:space="preserve"> are technically feasible and should be RAN 1’s priority in Rel-17.</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04934C72" w14:textId="49C39794" w:rsidR="00DD2768" w:rsidRPr="009F7FCE" w:rsidRDefault="007A7DCF" w:rsidP="00B15362">
      <w:pPr>
        <w:jc w:val="both"/>
      </w:pPr>
      <w:r w:rsidRPr="009F7FCE">
        <w:t xml:space="preserve">The simultaneous operation Case C (simultaneous MT RX and DU TX) and Case D (simultaneous MT TX and DU RX) are characterized as </w:t>
      </w:r>
      <w:r w:rsidRPr="009F7FCE">
        <w:rPr>
          <w:i/>
        </w:rPr>
        <w:t>IAB full-duplex</w:t>
      </w:r>
      <w:r w:rsidRPr="009F7FCE">
        <w:t xml:space="preserve"> operations, which are technically challenging even with separate Tx/Rx antenna panels, see </w:t>
      </w:r>
      <w:r w:rsidRPr="009F7FCE">
        <w:fldChar w:fldCharType="begin"/>
      </w:r>
      <w:r w:rsidRPr="009F7FCE">
        <w:instrText xml:space="preserve"> REF _Ref45570110 \h </w:instrText>
      </w:r>
      <w:r w:rsidR="00FF3614" w:rsidRPr="009F7FCE">
        <w:instrText xml:space="preserve"> \* MERGEFORMAT </w:instrText>
      </w:r>
      <w:r w:rsidRPr="009F7FCE">
        <w:fldChar w:fldCharType="separate"/>
      </w:r>
      <w:r w:rsidR="005709C0" w:rsidRPr="009F7FCE">
        <w:t xml:space="preserve">Figure </w:t>
      </w:r>
      <w:r w:rsidR="005709C0">
        <w:t>1</w:t>
      </w:r>
      <w:r w:rsidRPr="009F7FCE">
        <w:fldChar w:fldCharType="end"/>
      </w:r>
      <w:r w:rsidRPr="009F7FCE">
        <w:t xml:space="preserve">. A </w:t>
      </w:r>
      <w:r w:rsidR="003C2A1B" w:rsidRPr="009F7FCE">
        <w:t>fundamental requirement for</w:t>
      </w:r>
      <w:r w:rsidRPr="009F7FCE">
        <w:t xml:space="preserve"> IAB full-duplex is that the intra-node interference can be sufficiently suppressed and the IAB-MT and IAB-DU are able to operate relatively independently. </w:t>
      </w:r>
      <w:r w:rsidR="00AD16DD" w:rsidRPr="009F7FCE">
        <w:t>Note that</w:t>
      </w:r>
      <w:r w:rsidR="003A154D" w:rsidRPr="009F7FCE">
        <w:t xml:space="preserve"> IAB backhaul links</w:t>
      </w:r>
      <w:r w:rsidR="002C0309" w:rsidRPr="009F7FCE">
        <w:t xml:space="preserve"> have distinct reliability requirements as the failure in a network </w:t>
      </w:r>
      <w:r w:rsidR="002C0309" w:rsidRPr="009F7FCE">
        <w:lastRenderedPageBreak/>
        <w:t xml:space="preserve">node may affect multiple child </w:t>
      </w:r>
      <w:r w:rsidR="00A33CF4">
        <w:t>IAB-node</w:t>
      </w:r>
      <w:r w:rsidR="002C0309" w:rsidRPr="009F7FCE">
        <w:t xml:space="preserve">s and their connected devices. </w:t>
      </w:r>
      <w:r w:rsidR="00B61860" w:rsidRPr="009F7FCE">
        <w:t xml:space="preserve">For that reason, considering multiplexing Case C and Case D with a co-located transmitter and receiver, </w:t>
      </w:r>
      <w:r w:rsidR="006D6BFB" w:rsidRPr="009F7FCE">
        <w:t>the reliability of the backhaul links will be entirely depending on the ability to perform such interference cancellation</w:t>
      </w:r>
      <w:r w:rsidR="005F14FE" w:rsidRPr="009F7FCE">
        <w:t xml:space="preserve"> using technology that is till at the research stage</w:t>
      </w:r>
      <w:r w:rsidR="00B61860" w:rsidRPr="009F7FCE">
        <w:t>.</w:t>
      </w:r>
    </w:p>
    <w:p w14:paraId="55BCD39F" w14:textId="63EE06ED" w:rsidR="0015522E" w:rsidRPr="009F7FCE" w:rsidRDefault="0015522E" w:rsidP="00B15362">
      <w:pPr>
        <w:pStyle w:val="Observation"/>
        <w:jc w:val="both"/>
      </w:pPr>
      <w:bookmarkStart w:id="36" w:name="_Toc54254731"/>
      <w:bookmarkStart w:id="37" w:name="_Toc54382807"/>
      <w:r w:rsidRPr="009F7FCE">
        <w:t>U</w:t>
      </w:r>
      <w:r w:rsidRPr="009F7FCE">
        <w:rPr>
          <w:rFonts w:eastAsia="Times New Roman" w:cs="Segoe UI"/>
          <w:lang w:eastAsia="sv-SE"/>
        </w:rPr>
        <w:t>nreliable self-interference is depending on the channel, which is unsuitable for a network node with reliability requirements</w:t>
      </w:r>
      <w:r w:rsidRPr="009F7FCE">
        <w:t>.</w:t>
      </w:r>
      <w:bookmarkEnd w:id="36"/>
      <w:bookmarkEnd w:id="37"/>
    </w:p>
    <w:p w14:paraId="35733EE7" w14:textId="46759085" w:rsidR="00B61860" w:rsidRPr="009F7FCE" w:rsidRDefault="002C0309" w:rsidP="00B15362">
      <w:pPr>
        <w:jc w:val="both"/>
      </w:pPr>
      <w:r w:rsidRPr="009F7FCE">
        <w:t>For instance, as an illustrative example, consider cases with 40 dBm transmit power of the node and 50 dB attenuation between the transmitter and the receiver</w:t>
      </w:r>
      <w:r w:rsidR="00D364BC" w:rsidRPr="009F7FCE">
        <w:t xml:space="preserve"> using separate panels</w:t>
      </w:r>
      <w:r w:rsidRPr="009F7FCE">
        <w:t>, according to</w:t>
      </w:r>
      <w:r w:rsidR="00BD4D5F" w:rsidRPr="009F7FCE">
        <w:t xml:space="preserve"> </w:t>
      </w:r>
      <w:r w:rsidR="00BD4D5F" w:rsidRPr="009F7FCE">
        <w:fldChar w:fldCharType="begin"/>
      </w:r>
      <w:r w:rsidR="00BD4D5F" w:rsidRPr="009F7FCE">
        <w:instrText xml:space="preserve"> REF _Ref54281480 \r \h </w:instrText>
      </w:r>
      <w:r w:rsidR="00B15362" w:rsidRPr="009F7FCE">
        <w:instrText xml:space="preserve"> \* MERGEFORMAT </w:instrText>
      </w:r>
      <w:r w:rsidR="00BD4D5F" w:rsidRPr="009F7FCE">
        <w:fldChar w:fldCharType="separate"/>
      </w:r>
      <w:r w:rsidR="005709C0">
        <w:t>[5]</w:t>
      </w:r>
      <w:r w:rsidR="00BD4D5F" w:rsidRPr="009F7FCE">
        <w:fldChar w:fldCharType="end"/>
      </w:r>
      <w:r w:rsidRPr="009F7FCE">
        <w:t>. Then, with a</w:t>
      </w:r>
      <w:r w:rsidR="00760608" w:rsidRPr="009F7FCE">
        <w:t xml:space="preserve"> </w:t>
      </w:r>
      <w:r w:rsidR="00760608" w:rsidRPr="009F7FCE">
        <w:noBreakHyphen/>
      </w:r>
      <w:r w:rsidRPr="009F7FCE">
        <w:t xml:space="preserve">100 dBm sensitivity one may require </w:t>
      </w:r>
      <w:r w:rsidR="00517C77" w:rsidRPr="009F7FCE">
        <w:t>40</w:t>
      </w:r>
      <w:r w:rsidR="0012173D">
        <w:t xml:space="preserve"> </w:t>
      </w:r>
      <w:r w:rsidR="00517C77" w:rsidRPr="009F7FCE">
        <w:t>-</w:t>
      </w:r>
      <w:r w:rsidR="0012173D">
        <w:t xml:space="preserve"> </w:t>
      </w:r>
      <w:r w:rsidR="00517C77" w:rsidRPr="009F7FCE">
        <w:t>50</w:t>
      </w:r>
      <w:r w:rsidR="0012173D">
        <w:t xml:space="preserve"> </w:t>
      </w:r>
      <w:r w:rsidR="00517C77" w:rsidRPr="009F7FCE">
        <w:t>-</w:t>
      </w:r>
      <w:r w:rsidR="0012173D">
        <w:t xml:space="preserve"> </w:t>
      </w:r>
      <w:r w:rsidR="00517C77" w:rsidRPr="009F7FCE">
        <w:t>(-100)</w:t>
      </w:r>
      <w:r w:rsidR="0012173D">
        <w:t xml:space="preserve"> </w:t>
      </w:r>
      <w:r w:rsidR="00517C77" w:rsidRPr="009F7FCE">
        <w:t>=</w:t>
      </w:r>
      <w:r w:rsidR="0012173D">
        <w:t xml:space="preserve"> </w:t>
      </w:r>
      <w:r w:rsidRPr="009F7FCE">
        <w:t xml:space="preserve">90 dB </w:t>
      </w:r>
      <w:r w:rsidR="002F2804" w:rsidRPr="009F7FCE">
        <w:t>additional</w:t>
      </w:r>
      <w:r w:rsidRPr="009F7FCE">
        <w:t xml:space="preserve"> </w:t>
      </w:r>
      <w:r w:rsidR="00DD2345" w:rsidRPr="009F7FCE">
        <w:t xml:space="preserve">intra-panel </w:t>
      </w:r>
      <w:r w:rsidRPr="009F7FCE">
        <w:t>attenuation</w:t>
      </w:r>
      <w:r w:rsidR="00DD2345" w:rsidRPr="009F7FCE">
        <w:t>, just to get even signal and interference power</w:t>
      </w:r>
      <w:r w:rsidRPr="009F7FCE">
        <w:t xml:space="preserve">. More importantly, even if we can remove the </w:t>
      </w:r>
      <w:r w:rsidR="00DD2345" w:rsidRPr="009F7FCE">
        <w:t>static component of inter-panel interference</w:t>
      </w:r>
      <w:r w:rsidRPr="009F7FCE">
        <w:t xml:space="preserve">, </w:t>
      </w:r>
      <w:r w:rsidR="00DD2345" w:rsidRPr="009F7FCE">
        <w:t>there</w:t>
      </w:r>
      <w:r w:rsidRPr="009F7FCE">
        <w:t xml:space="preserve"> is </w:t>
      </w:r>
      <w:r w:rsidR="00DD2345" w:rsidRPr="009F7FCE">
        <w:t xml:space="preserve">also a </w:t>
      </w:r>
      <w:r w:rsidRPr="009F7FCE">
        <w:t>dynamic</w:t>
      </w:r>
      <w:r w:rsidR="00DD2345" w:rsidRPr="009F7FCE">
        <w:t xml:space="preserve"> aspect</w:t>
      </w:r>
      <w:r w:rsidRPr="009F7FCE">
        <w:t xml:space="preserve">, as the channel between the receiver and the transmitter may change and the operator may not have full control of the channel to foresee all dynamic channel variations. An interference cancelling algorithm may further need to handle more rapid changes, </w:t>
      </w:r>
      <w:r w:rsidR="00DD2345" w:rsidRPr="009F7FCE">
        <w:t>such as moving reflective object</w:t>
      </w:r>
      <w:r w:rsidRPr="009F7FCE">
        <w:t xml:space="preserve">, </w:t>
      </w:r>
      <w:r w:rsidR="003D03E2" w:rsidRPr="009F7FCE">
        <w:t xml:space="preserve">reflections </w:t>
      </w:r>
      <w:r w:rsidR="00076F75" w:rsidRPr="009F7FCE">
        <w:t xml:space="preserve">depending on </w:t>
      </w:r>
      <w:r w:rsidRPr="009F7FCE">
        <w:t xml:space="preserve">transmission direction, a changed number of antenna element or transmission power. Thus, we may not be able to adapt based on channel variations or scheduling changes, both of which makes the link unreliable. Moreover, with self-interference, we will need to suppress the interference not only in the digital domain but also </w:t>
      </w:r>
      <w:r w:rsidR="00720567" w:rsidRPr="009F7FCE">
        <w:t xml:space="preserve">and </w:t>
      </w:r>
      <w:r w:rsidR="00DD2345" w:rsidRPr="009F7FCE">
        <w:t>mostly</w:t>
      </w:r>
      <w:r w:rsidRPr="009F7FCE">
        <w:t xml:space="preserve"> in the analogue domain. As a result, the dynamic range of the analogue signal path, due to interference cancellation requirements, needs to be substantially higher which will result in very expensive and power inefficient nodes. </w:t>
      </w:r>
    </w:p>
    <w:p w14:paraId="6CE4026D" w14:textId="5C50AE8A" w:rsidR="00B61860" w:rsidRPr="009F7FCE" w:rsidRDefault="00A30A88" w:rsidP="00B15362">
      <w:pPr>
        <w:pStyle w:val="Observation"/>
        <w:jc w:val="both"/>
      </w:pPr>
      <w:bookmarkStart w:id="38" w:name="_Toc54254733"/>
      <w:bookmarkStart w:id="39" w:name="_Toc54283816"/>
      <w:bookmarkStart w:id="40" w:name="_Toc54382808"/>
      <w:r w:rsidRPr="009F7FCE">
        <w:t>A f</w:t>
      </w:r>
      <w:r w:rsidR="002C0309" w:rsidRPr="009F7FCE">
        <w:t>ull</w:t>
      </w:r>
      <w:r w:rsidR="00B61860" w:rsidRPr="009F7FCE">
        <w:t xml:space="preserve"> duplex link budget assumes up to ~90 dB self-interference to even reach 0 dB SINR towards the transmitter.</w:t>
      </w:r>
      <w:bookmarkEnd w:id="38"/>
      <w:bookmarkEnd w:id="39"/>
      <w:bookmarkEnd w:id="40"/>
    </w:p>
    <w:p w14:paraId="3FEFAAB7" w14:textId="3D8A81BD" w:rsidR="00B61860" w:rsidRPr="009F7FCE" w:rsidRDefault="00B61860" w:rsidP="00B15362">
      <w:pPr>
        <w:pStyle w:val="Observation"/>
        <w:jc w:val="both"/>
      </w:pPr>
      <w:bookmarkStart w:id="41" w:name="_Toc54254734"/>
      <w:bookmarkStart w:id="42" w:name="_Toc54283818"/>
      <w:bookmarkStart w:id="43" w:name="_Toc54382809"/>
      <w:r w:rsidRPr="009F7FCE">
        <w:t>Full duplex will require substantial redesign with Tx cancellation circuitry in each Rx chain substantially increasing CAPEX and time-to-market making it unattractive to the market.</w:t>
      </w:r>
      <w:bookmarkEnd w:id="41"/>
      <w:bookmarkEnd w:id="42"/>
      <w:bookmarkEnd w:id="43"/>
    </w:p>
    <w:p w14:paraId="6A4F2E7C" w14:textId="2E85B000" w:rsidR="004026DB" w:rsidRPr="009F7FCE" w:rsidRDefault="004A537C" w:rsidP="00B15362">
      <w:pPr>
        <w:jc w:val="both"/>
      </w:pPr>
      <w:r w:rsidRPr="009F7FCE">
        <w:t xml:space="preserve">Furthermore, following the same discussions as above, UL full-duplex </w:t>
      </w:r>
      <w:r w:rsidR="00D43FA7" w:rsidRPr="009F7FCE">
        <w:t xml:space="preserve">(Case D) </w:t>
      </w:r>
      <w:r w:rsidRPr="009F7FCE">
        <w:t>may create the same problem as backhaul transmission in UL slots in IAB-half-duplex.</w:t>
      </w:r>
    </w:p>
    <w:p w14:paraId="6CFD1762" w14:textId="3B02B4D5" w:rsidR="00B61860" w:rsidRPr="009F7FCE" w:rsidRDefault="00B61860" w:rsidP="00B15362">
      <w:pPr>
        <w:pStyle w:val="Observation"/>
        <w:jc w:val="both"/>
      </w:pPr>
      <w:bookmarkStart w:id="44" w:name="_Toc54254732"/>
      <w:bookmarkStart w:id="45" w:name="_Toc54283817"/>
      <w:bookmarkStart w:id="46" w:name="_Toc54382810"/>
      <w:r w:rsidRPr="009F7FCE">
        <w:t>UL full duplex has the same problems with extensive interference</w:t>
      </w:r>
      <w:bookmarkEnd w:id="44"/>
      <w:r w:rsidR="00A30A88" w:rsidRPr="009F7FCE">
        <w:t xml:space="preserve"> as IAB half-duplex</w:t>
      </w:r>
      <w:r w:rsidRPr="009F7FCE">
        <w:t>.</w:t>
      </w:r>
      <w:bookmarkEnd w:id="45"/>
      <w:bookmarkEnd w:id="46"/>
    </w:p>
    <w:p w14:paraId="00F79107" w14:textId="47F47B18" w:rsidR="00B61860" w:rsidRPr="009F7FCE" w:rsidRDefault="004026DB" w:rsidP="00B15362">
      <w:pPr>
        <w:jc w:val="both"/>
      </w:pPr>
      <w:r w:rsidRPr="009F7FCE">
        <w:t>Equally important is the concern</w:t>
      </w:r>
      <w:r w:rsidR="00B61860" w:rsidRPr="009F7FCE">
        <w:t xml:space="preserve"> that IAB full-duplex nodes will cause significant interference to nodes in the same network that are not supporting full-duplex </w:t>
      </w:r>
      <w:r w:rsidR="00D43FA7" w:rsidRPr="009F7FCE">
        <w:t xml:space="preserve">Case C or </w:t>
      </w:r>
      <w:r w:rsidR="00252F78" w:rsidRPr="009F7FCE">
        <w:t xml:space="preserve">Case </w:t>
      </w:r>
      <w:r w:rsidR="00D43FA7" w:rsidRPr="009F7FCE">
        <w:t xml:space="preserve">D </w:t>
      </w:r>
      <w:r w:rsidR="00B61860" w:rsidRPr="009F7FCE">
        <w:t>and possibl</w:t>
      </w:r>
      <w:r w:rsidR="00252F78" w:rsidRPr="009F7FCE">
        <w:t>y</w:t>
      </w:r>
      <w:r w:rsidR="00B61860" w:rsidRPr="009F7FCE">
        <w:t xml:space="preserve"> also outside the network. Except for some special scenarios, e.g., deployment in an isolated environment, current performance of full-duplex operation is questionable.</w:t>
      </w:r>
    </w:p>
    <w:p w14:paraId="3DB6E04B" w14:textId="5A597A02" w:rsidR="004A537C" w:rsidRPr="009F7FCE" w:rsidRDefault="004A537C" w:rsidP="00B15362">
      <w:pPr>
        <w:jc w:val="both"/>
      </w:pPr>
      <w:r w:rsidRPr="009F7FCE">
        <w:t xml:space="preserve">Due to the above objections, it does not make sense to specify full duplex </w:t>
      </w:r>
      <w:r w:rsidR="00DF79FD" w:rsidRPr="009F7FCE">
        <w:t>with the same priority as Case A and B</w:t>
      </w:r>
      <w:r w:rsidRPr="009F7FCE">
        <w:t>. That specification work may have a negative outcome for the remaining multiplexing cases for two reasons: First, it will consume valuable and spar</w:t>
      </w:r>
      <w:r w:rsidR="00E1396E" w:rsidRPr="009F7FCE">
        <w:t>s</w:t>
      </w:r>
      <w:r w:rsidRPr="009F7FCE">
        <w:t>e time resources</w:t>
      </w:r>
      <w:r w:rsidR="00092056" w:rsidRPr="009F7FCE">
        <w:t>;</w:t>
      </w:r>
      <w:r w:rsidRPr="009F7FCE">
        <w:t xml:space="preserve"> second, it may cause unattractive solutions for the more relevant multiplexing cases, should RAN1 opt for a common solution for all multiplexing cases instead of what works best for Case A and Case B.</w:t>
      </w:r>
      <w:r w:rsidR="00B61860" w:rsidRPr="009F7FCE">
        <w:t xml:space="preserve"> In conclusion, we think simultaneous mixed operation of transmit and receive i.e., IAB full-duplex, should not be prioritized in Rel-17.</w:t>
      </w:r>
    </w:p>
    <w:p w14:paraId="0CB94BE1" w14:textId="5F6DD4A5" w:rsidR="007A7DCF" w:rsidRPr="009F7FCE" w:rsidRDefault="007A7DCF" w:rsidP="00B15362">
      <w:pPr>
        <w:pStyle w:val="Proposal"/>
        <w:jc w:val="both"/>
      </w:pPr>
      <w:bookmarkStart w:id="47" w:name="_Toc45556921"/>
      <w:bookmarkStart w:id="48" w:name="_Toc45557144"/>
      <w:bookmarkStart w:id="49" w:name="_Toc45569694"/>
      <w:bookmarkStart w:id="50" w:name="_Toc45569739"/>
      <w:bookmarkStart w:id="51" w:name="_Toc45569903"/>
      <w:bookmarkStart w:id="52" w:name="_Toc45626238"/>
      <w:bookmarkStart w:id="53" w:name="_Toc45627447"/>
      <w:bookmarkStart w:id="54" w:name="_Toc45639180"/>
      <w:bookmarkStart w:id="55" w:name="_Toc45639248"/>
      <w:bookmarkStart w:id="56" w:name="_Toc45698716"/>
      <w:bookmarkStart w:id="57" w:name="_Toc45698529"/>
      <w:bookmarkStart w:id="58" w:name="_Toc45698541"/>
      <w:bookmarkStart w:id="59" w:name="_Toc45784684"/>
      <w:bookmarkStart w:id="60" w:name="_Toc45785258"/>
      <w:bookmarkStart w:id="61" w:name="_Toc45786034"/>
      <w:bookmarkStart w:id="62" w:name="_Toc46151862"/>
      <w:bookmarkStart w:id="63" w:name="_Toc46734757"/>
      <w:bookmarkStart w:id="64" w:name="_Toc47527060"/>
      <w:bookmarkStart w:id="65" w:name="_Toc47686290"/>
      <w:bookmarkStart w:id="66" w:name="_Toc47690388"/>
      <w:bookmarkStart w:id="67" w:name="_Toc47691758"/>
      <w:bookmarkStart w:id="68" w:name="_Toc47692220"/>
      <w:bookmarkStart w:id="69" w:name="_Toc47692313"/>
      <w:bookmarkStart w:id="70" w:name="_Toc47693429"/>
      <w:bookmarkStart w:id="71" w:name="_Toc47702392"/>
      <w:bookmarkStart w:id="72" w:name="_Toc47702955"/>
      <w:bookmarkStart w:id="73" w:name="_Toc47708271"/>
      <w:bookmarkStart w:id="74" w:name="_Toc47714239"/>
      <w:bookmarkStart w:id="75" w:name="_Toc47733728"/>
      <w:bookmarkStart w:id="76" w:name="_Toc47734082"/>
      <w:bookmarkStart w:id="77" w:name="_Toc54189373"/>
      <w:bookmarkStart w:id="78" w:name="_Toc54205957"/>
      <w:bookmarkStart w:id="79" w:name="_Toc54284147"/>
      <w:bookmarkStart w:id="80" w:name="_Toc54382822"/>
      <w:r w:rsidRPr="009F7FCE">
        <w:t xml:space="preserve">Simultaneous MT RX and DU TX, i.e., </w:t>
      </w:r>
      <w:r w:rsidRPr="009F7FCE">
        <w:rPr>
          <w:i/>
        </w:rPr>
        <w:t>downstream full-duplex</w:t>
      </w:r>
      <w:r w:rsidRPr="009F7FCE">
        <w:t xml:space="preserve">, and simultaneous MT TX and DU RX, i.e., </w:t>
      </w:r>
      <w:r w:rsidRPr="009F7FCE">
        <w:rPr>
          <w:i/>
        </w:rPr>
        <w:t>upstream full-duplex</w:t>
      </w:r>
      <w:r w:rsidRPr="009F7FCE">
        <w:t>, are not prioritized in Rel-17.</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3BA0B7DA" w14:textId="71274CF7" w:rsidR="007A7DCF" w:rsidRPr="009F7FCE" w:rsidRDefault="00A36245" w:rsidP="00B15362">
      <w:pPr>
        <w:pStyle w:val="Heading1"/>
        <w:jc w:val="both"/>
        <w:rPr>
          <w:lang w:val="en-US"/>
        </w:rPr>
      </w:pPr>
      <w:r w:rsidRPr="009F7FCE">
        <w:rPr>
          <w:lang w:val="en-US"/>
        </w:rPr>
        <w:t>Enhancements to IAB-DU resource configuration</w:t>
      </w:r>
    </w:p>
    <w:p w14:paraId="1A6B4D0C" w14:textId="616C06A6" w:rsidR="00DE75C7" w:rsidRPr="009F7FCE" w:rsidRDefault="00DE75C7" w:rsidP="00B15362">
      <w:pPr>
        <w:pStyle w:val="BodyText"/>
        <w:jc w:val="both"/>
        <w:rPr>
          <w:rFonts w:cs="Arial"/>
        </w:rPr>
      </w:pPr>
      <w:r w:rsidRPr="009F7FCE">
        <w:rPr>
          <w:rFonts w:cs="Arial"/>
        </w:rPr>
        <w:t>In RAN1#98bis, the following agreement on IAB multiplexing capability were reached</w:t>
      </w:r>
      <w:r w:rsidR="00A36245" w:rsidRPr="009F7FCE">
        <w:rPr>
          <w:rFonts w:cs="Arial"/>
        </w:rPr>
        <w:t xml:space="preserve"> </w:t>
      </w:r>
      <w:r w:rsidR="008D412E" w:rsidRPr="009F7FCE">
        <w:rPr>
          <w:rFonts w:cs="Arial"/>
        </w:rPr>
        <w:fldChar w:fldCharType="begin"/>
      </w:r>
      <w:r w:rsidR="008D412E" w:rsidRPr="009F7FCE">
        <w:rPr>
          <w:rFonts w:cs="Arial"/>
        </w:rPr>
        <w:instrText xml:space="preserve"> REF _Ref476919366 \r \h </w:instrText>
      </w:r>
      <w:r w:rsidR="00FF3614" w:rsidRPr="009F7FCE">
        <w:rPr>
          <w:rFonts w:cs="Arial"/>
        </w:rPr>
        <w:instrText xml:space="preserve"> \* MERGEFORMAT </w:instrText>
      </w:r>
      <w:r w:rsidR="008D412E" w:rsidRPr="009F7FCE">
        <w:rPr>
          <w:rFonts w:cs="Arial"/>
        </w:rPr>
      </w:r>
      <w:r w:rsidR="008D412E" w:rsidRPr="009F7FCE">
        <w:rPr>
          <w:rFonts w:cs="Arial"/>
        </w:rPr>
        <w:fldChar w:fldCharType="separate"/>
      </w:r>
      <w:r w:rsidR="005709C0">
        <w:rPr>
          <w:rFonts w:cs="Arial"/>
        </w:rPr>
        <w:t>[6]</w:t>
      </w:r>
      <w:r w:rsidR="008D412E" w:rsidRPr="009F7FCE">
        <w:rPr>
          <w:rFonts w:cs="Arial"/>
        </w:rPr>
        <w:fldChar w:fldCharType="end"/>
      </w:r>
      <w:r w:rsidRPr="009F7FCE">
        <w:rPr>
          <w:rFonts w:cs="Arial"/>
        </w:rPr>
        <w:t>:</w:t>
      </w:r>
    </w:p>
    <w:tbl>
      <w:tblPr>
        <w:tblStyle w:val="TableGrid"/>
        <w:tblW w:w="0" w:type="auto"/>
        <w:tblLook w:val="04A0" w:firstRow="1" w:lastRow="0" w:firstColumn="1" w:lastColumn="0" w:noHBand="0" w:noVBand="1"/>
      </w:tblPr>
      <w:tblGrid>
        <w:gridCol w:w="9629"/>
      </w:tblGrid>
      <w:tr w:rsidR="00DE75C7" w:rsidRPr="009F7FCE" w14:paraId="09022516" w14:textId="77777777" w:rsidTr="009D1585">
        <w:tc>
          <w:tcPr>
            <w:tcW w:w="9629" w:type="dxa"/>
          </w:tcPr>
          <w:p w14:paraId="21777757" w14:textId="77777777" w:rsidR="00DE75C7" w:rsidRPr="009F7FCE" w:rsidRDefault="00DE75C7" w:rsidP="00B15362">
            <w:pPr>
              <w:ind w:left="1440" w:hanging="1440"/>
              <w:jc w:val="both"/>
              <w:rPr>
                <w:lang w:eastAsia="x-none"/>
              </w:rPr>
            </w:pPr>
            <w:r w:rsidRPr="009F7FCE">
              <w:rPr>
                <w:b/>
                <w:highlight w:val="green"/>
                <w:u w:val="single"/>
                <w:lang w:eastAsia="x-none"/>
              </w:rPr>
              <w:lastRenderedPageBreak/>
              <w:t>Agreements</w:t>
            </w:r>
            <w:r w:rsidRPr="009F7FCE">
              <w:rPr>
                <w:lang w:eastAsia="x-none"/>
              </w:rPr>
              <w:t>:</w:t>
            </w:r>
          </w:p>
          <w:p w14:paraId="7F29FDFF" w14:textId="77777777" w:rsidR="00DE75C7" w:rsidRPr="009F7FCE" w:rsidRDefault="00DE75C7" w:rsidP="00B15362">
            <w:pPr>
              <w:spacing w:before="60"/>
              <w:jc w:val="both"/>
              <w:rPr>
                <w:rFonts w:cs="Arial"/>
              </w:rPr>
            </w:pPr>
            <w:r w:rsidRPr="009F7FCE">
              <w:rPr>
                <w:rFonts w:eastAsia="Times New Roman"/>
              </w:rPr>
              <w:t>The donor CU and the parent node can be made aware of the multiplexing capability between MT and DU (TDM required, TDM not required) of an IAB-node to for any {MT CC, DU cell} pair.</w:t>
            </w:r>
          </w:p>
        </w:tc>
      </w:tr>
    </w:tbl>
    <w:p w14:paraId="5FF7D408" w14:textId="77777777" w:rsidR="00514388" w:rsidRPr="009F7FCE" w:rsidRDefault="00514388" w:rsidP="00B15362">
      <w:pPr>
        <w:pStyle w:val="BodyText"/>
        <w:jc w:val="both"/>
      </w:pPr>
    </w:p>
    <w:p w14:paraId="325583CD" w14:textId="4DA6B6D0" w:rsidR="00DE75C7" w:rsidRPr="009F7FCE" w:rsidRDefault="00DE75C7" w:rsidP="00B15362">
      <w:pPr>
        <w:pStyle w:val="BodyText"/>
        <w:jc w:val="both"/>
        <w:rPr>
          <w:rFonts w:cs="Arial"/>
        </w:rPr>
      </w:pPr>
      <w:r w:rsidRPr="009F7FCE">
        <w:t xml:space="preserve">It further agreed in RAN1#99 </w:t>
      </w:r>
      <w:r w:rsidRPr="009F7FCE">
        <w:fldChar w:fldCharType="begin"/>
      </w:r>
      <w:r w:rsidRPr="009F7FCE">
        <w:instrText xml:space="preserve"> REF _Ref45550185 \r \h  \* MERGEFORMAT </w:instrText>
      </w:r>
      <w:r w:rsidRPr="009F7FCE">
        <w:fldChar w:fldCharType="separate"/>
      </w:r>
      <w:r w:rsidR="005709C0">
        <w:t>[7]</w:t>
      </w:r>
      <w:r w:rsidRPr="009F7FCE">
        <w:fldChar w:fldCharType="end"/>
      </w:r>
      <w:r w:rsidRPr="009F7FCE">
        <w:t xml:space="preserve"> that: </w:t>
      </w:r>
    </w:p>
    <w:tbl>
      <w:tblPr>
        <w:tblStyle w:val="TableGrid"/>
        <w:tblW w:w="0" w:type="auto"/>
        <w:tblLook w:val="04A0" w:firstRow="1" w:lastRow="0" w:firstColumn="1" w:lastColumn="0" w:noHBand="0" w:noVBand="1"/>
      </w:tblPr>
      <w:tblGrid>
        <w:gridCol w:w="9629"/>
      </w:tblGrid>
      <w:tr w:rsidR="00DE75C7" w:rsidRPr="009F7FCE" w14:paraId="5C0357BB" w14:textId="77777777" w:rsidTr="009D1585">
        <w:tc>
          <w:tcPr>
            <w:tcW w:w="9629" w:type="dxa"/>
          </w:tcPr>
          <w:p w14:paraId="15AE1BE7" w14:textId="77777777" w:rsidR="00DE75C7" w:rsidRPr="009F7FCE" w:rsidRDefault="00DE75C7" w:rsidP="00B15362">
            <w:pPr>
              <w:ind w:left="1440" w:hanging="1440"/>
              <w:jc w:val="both"/>
              <w:rPr>
                <w:lang w:eastAsia="x-none"/>
              </w:rPr>
            </w:pPr>
            <w:r w:rsidRPr="009F7FCE">
              <w:rPr>
                <w:b/>
                <w:highlight w:val="green"/>
                <w:u w:val="single"/>
                <w:lang w:eastAsia="x-none"/>
              </w:rPr>
              <w:t>Agreements</w:t>
            </w:r>
            <w:r w:rsidRPr="009F7FCE">
              <w:rPr>
                <w:lang w:eastAsia="x-none"/>
              </w:rPr>
              <w:t>:</w:t>
            </w:r>
          </w:p>
          <w:p w14:paraId="53712AE2" w14:textId="77777777" w:rsidR="00DE75C7" w:rsidRPr="009F7FCE" w:rsidRDefault="00DE75C7" w:rsidP="00B15362">
            <w:pPr>
              <w:jc w:val="both"/>
              <w:rPr>
                <w:rFonts w:eastAsia="Batang" w:cs="Arial"/>
              </w:rPr>
            </w:pPr>
            <w:r w:rsidRPr="009F7FCE">
              <w:rPr>
                <w:rFonts w:eastAsia="Batang" w:cs="Arial"/>
              </w:rPr>
              <w:t>The indication of the multiplexing capability for the case of no-TDM between IAB-MT and IAB-DU is additionally provided with respect to each transmission-direction combination (per MT CC/DU cell pair):</w:t>
            </w:r>
          </w:p>
          <w:p w14:paraId="37870242" w14:textId="77777777" w:rsidR="00DE75C7" w:rsidRPr="009F7FCE" w:rsidRDefault="00DE75C7" w:rsidP="00B15362">
            <w:pPr>
              <w:numPr>
                <w:ilvl w:val="0"/>
                <w:numId w:val="31"/>
              </w:numPr>
              <w:contextualSpacing/>
              <w:jc w:val="both"/>
              <w:rPr>
                <w:rFonts w:cs="Arial"/>
                <w:lang w:eastAsia="ja-JP"/>
              </w:rPr>
            </w:pPr>
            <w:r w:rsidRPr="009F7FCE">
              <w:rPr>
                <w:rFonts w:cs="Arial"/>
                <w:lang w:eastAsia="ja-JP"/>
              </w:rPr>
              <w:t>MT-TX/DU-TX</w:t>
            </w:r>
          </w:p>
          <w:p w14:paraId="516E75DE" w14:textId="77777777" w:rsidR="00DE75C7" w:rsidRPr="009F7FCE" w:rsidRDefault="00DE75C7" w:rsidP="00B15362">
            <w:pPr>
              <w:numPr>
                <w:ilvl w:val="0"/>
                <w:numId w:val="31"/>
              </w:numPr>
              <w:contextualSpacing/>
              <w:jc w:val="both"/>
              <w:rPr>
                <w:rFonts w:cs="Arial"/>
                <w:lang w:eastAsia="ja-JP"/>
              </w:rPr>
            </w:pPr>
            <w:r w:rsidRPr="009F7FCE">
              <w:rPr>
                <w:rFonts w:cs="Arial"/>
                <w:lang w:eastAsia="ja-JP"/>
              </w:rPr>
              <w:t xml:space="preserve">MT-TX/DU-RX </w:t>
            </w:r>
          </w:p>
          <w:p w14:paraId="15ACA1F7" w14:textId="77777777" w:rsidR="00DE75C7" w:rsidRPr="009F7FCE" w:rsidRDefault="00DE75C7" w:rsidP="00B15362">
            <w:pPr>
              <w:numPr>
                <w:ilvl w:val="0"/>
                <w:numId w:val="31"/>
              </w:numPr>
              <w:contextualSpacing/>
              <w:jc w:val="both"/>
              <w:rPr>
                <w:rFonts w:cs="Arial"/>
                <w:lang w:eastAsia="ja-JP"/>
              </w:rPr>
            </w:pPr>
            <w:r w:rsidRPr="009F7FCE">
              <w:rPr>
                <w:rFonts w:cs="Arial"/>
                <w:lang w:eastAsia="ja-JP"/>
              </w:rPr>
              <w:t>MT-RX/DU-TX</w:t>
            </w:r>
          </w:p>
          <w:p w14:paraId="1ACE2BD1" w14:textId="77777777" w:rsidR="00DE75C7" w:rsidRPr="009F7FCE" w:rsidRDefault="00DE75C7" w:rsidP="00B15362">
            <w:pPr>
              <w:numPr>
                <w:ilvl w:val="0"/>
                <w:numId w:val="31"/>
              </w:numPr>
              <w:contextualSpacing/>
              <w:jc w:val="both"/>
              <w:rPr>
                <w:rFonts w:cs="Arial"/>
                <w:lang w:eastAsia="ja-JP"/>
              </w:rPr>
            </w:pPr>
            <w:r w:rsidRPr="009F7FCE">
              <w:rPr>
                <w:rFonts w:cs="Arial"/>
                <w:lang w:eastAsia="ja-JP"/>
              </w:rPr>
              <w:t>MT-RX/DU-RX</w:t>
            </w:r>
          </w:p>
          <w:p w14:paraId="7273B568" w14:textId="77777777" w:rsidR="00DE75C7" w:rsidRPr="009F7FCE" w:rsidRDefault="00DE75C7" w:rsidP="00B15362">
            <w:pPr>
              <w:spacing w:before="60"/>
              <w:jc w:val="both"/>
              <w:rPr>
                <w:rFonts w:cs="Arial"/>
              </w:rPr>
            </w:pPr>
            <w:r w:rsidRPr="009F7FCE">
              <w:rPr>
                <w:rFonts w:eastAsia="Batang" w:cs="Arial"/>
              </w:rPr>
              <w:t xml:space="preserve">Note: This agreement does not require any additional specification impact in RAN1 in Rel-16, i.e. in Rel-16 the </w:t>
            </w:r>
            <w:proofErr w:type="spellStart"/>
            <w:r w:rsidRPr="009F7FCE">
              <w:rPr>
                <w:rFonts w:eastAsia="Batang" w:cs="Arial"/>
              </w:rPr>
              <w:t>behaviour</w:t>
            </w:r>
            <w:proofErr w:type="spellEnd"/>
            <w:r w:rsidRPr="009F7FCE">
              <w:rPr>
                <w:rFonts w:eastAsia="Batang" w:cs="Arial"/>
              </w:rPr>
              <w:t xml:space="preserve"> of the IAB-node is only defined for TDM cases. The </w:t>
            </w:r>
            <w:proofErr w:type="spellStart"/>
            <w:r w:rsidRPr="009F7FCE">
              <w:rPr>
                <w:rFonts w:eastAsia="Batang" w:cs="Arial"/>
              </w:rPr>
              <w:t>behaviour</w:t>
            </w:r>
            <w:proofErr w:type="spellEnd"/>
            <w:r w:rsidRPr="009F7FCE">
              <w:rPr>
                <w:rFonts w:eastAsia="Batang" w:cs="Arial"/>
              </w:rPr>
              <w:t xml:space="preserve"> for no-TDM is left to IAB-node/network implementation in Rel-16.</w:t>
            </w:r>
          </w:p>
        </w:tc>
      </w:tr>
    </w:tbl>
    <w:p w14:paraId="4B4B1671" w14:textId="3456ECAC" w:rsidR="00774467" w:rsidRPr="009F7FCE" w:rsidRDefault="0043000A" w:rsidP="00B15362">
      <w:pPr>
        <w:pStyle w:val="Heading2"/>
        <w:jc w:val="both"/>
        <w:rPr>
          <w:lang w:val="en-US"/>
        </w:rPr>
      </w:pPr>
      <w:bookmarkStart w:id="81" w:name="_Ref54192101"/>
      <w:r w:rsidRPr="009F7FCE">
        <w:rPr>
          <w:lang w:val="en-US"/>
        </w:rPr>
        <w:t>H/S/NA attributes</w:t>
      </w:r>
      <w:bookmarkEnd w:id="81"/>
    </w:p>
    <w:p w14:paraId="1DD5BFE3" w14:textId="6A4DF208" w:rsidR="00DE75C7" w:rsidRPr="009F7FCE" w:rsidRDefault="00DE75C7" w:rsidP="00B15362">
      <w:pPr>
        <w:jc w:val="both"/>
      </w:pPr>
      <w:r w:rsidRPr="009F7FCE">
        <w:t>In Rel-16, the reason for introducing H/S/NA configuration to DU time-domain resources in the IAB network is to enable intra-IAB-node MT/DU coordination in light of IAB-node half-duplex constraints and to provide higher flexibility in resource utilization between the MT and DU of an IAB-node.</w:t>
      </w:r>
    </w:p>
    <w:p w14:paraId="2C2F3026" w14:textId="53AB3140" w:rsidR="00DE75C7" w:rsidRPr="009F7FCE" w:rsidRDefault="00DE75C7" w:rsidP="00B15362">
      <w:pPr>
        <w:jc w:val="both"/>
      </w:pPr>
      <w:r w:rsidRPr="009F7FCE">
        <w:t>When TDM between IAB-MT and IAB-DU is required</w:t>
      </w:r>
      <w:r w:rsidR="00746AAA" w:rsidRPr="009F7FCE">
        <w:t>,</w:t>
      </w:r>
      <w:r w:rsidRPr="009F7FCE">
        <w:t xml:space="preserve"> as the main scenario considered in Rel-16, a given time-domain resource is either used by IAB-MT or by IAB-DU. Configuration of H/S/NA to IAB-DU gives different priorities to the IAB-MT and IAB-DU regarding the usage of time-domain resource in question, and enables local coordination of time-domain resources between the IAB-node and its parent node accounted for dynamic conditions. </w:t>
      </w:r>
    </w:p>
    <w:p w14:paraId="712DA0C8" w14:textId="7CC71CD5" w:rsidR="00746AAA" w:rsidRPr="009F7FCE" w:rsidRDefault="00DE75C7" w:rsidP="00B15362">
      <w:pPr>
        <w:jc w:val="both"/>
      </w:pPr>
      <w:r w:rsidRPr="009F7FCE">
        <w:t>When the IAB-node</w:t>
      </w:r>
      <w:r w:rsidR="00746AAA" w:rsidRPr="009F7FCE">
        <w:t>’s</w:t>
      </w:r>
      <w:r w:rsidRPr="009F7FCE">
        <w:t xml:space="preserve"> </w:t>
      </w:r>
      <w:r w:rsidR="00746AAA" w:rsidRPr="009F7FCE">
        <w:t>multiplexing capability</w:t>
      </w:r>
      <w:r w:rsidRPr="009F7FCE">
        <w:t xml:space="preserve"> is</w:t>
      </w:r>
      <w:r w:rsidR="00F62AC2" w:rsidRPr="009F7FCE">
        <w:t xml:space="preserve"> indicated as</w:t>
      </w:r>
      <w:r w:rsidRPr="009F7FCE">
        <w:t xml:space="preserve"> “TDM not required”, configuration of time-domain H/S to the IAB-DU does not lead to different IAB-MT and IAB-DU behaviors since they can use the time-domain resources simultaneously. Considering the reuse of radio resources, “TDM not required” subject to half-duplex constraint can be further divided into FDM and SDM. For an IAB-node capable of FDM, the IAB-MT and IAB-DU can use time-domain resources simultaneously but need coordination on the usage of frequency-domain resources. In this case, a similar structure of configuring frequency-domain resources with H/S/NA attributes would be advantageous. It </w:t>
      </w:r>
      <w:r w:rsidR="00F27047" w:rsidRPr="009F7FCE">
        <w:t>requires</w:t>
      </w:r>
      <w:r w:rsidRPr="009F7FCE">
        <w:t xml:space="preserve"> certain coordination between IAB-node and its parent node about the frequency-domain resources, and therefore allows for greater flexibility, reduced CLI and reduced latency.</w:t>
      </w:r>
    </w:p>
    <w:p w14:paraId="2624B3B1" w14:textId="74396885" w:rsidR="00DE75C7" w:rsidRPr="009F7FCE" w:rsidRDefault="00DE75C7" w:rsidP="00B15362">
      <w:pPr>
        <w:pStyle w:val="Proposal"/>
        <w:jc w:val="both"/>
      </w:pPr>
      <w:bookmarkStart w:id="82" w:name="_Toc45636689"/>
      <w:bookmarkStart w:id="83" w:name="_Toc45639185"/>
      <w:bookmarkStart w:id="84" w:name="_Toc45639253"/>
      <w:bookmarkStart w:id="85" w:name="_Toc45698721"/>
      <w:bookmarkStart w:id="86" w:name="_Toc45698534"/>
      <w:bookmarkStart w:id="87" w:name="_Toc45698546"/>
      <w:bookmarkStart w:id="88" w:name="_Toc45784689"/>
      <w:bookmarkStart w:id="89" w:name="_Toc45785263"/>
      <w:bookmarkStart w:id="90" w:name="_Toc45786039"/>
      <w:bookmarkStart w:id="91" w:name="_Toc46151867"/>
      <w:bookmarkStart w:id="92" w:name="_Toc46734762"/>
      <w:bookmarkStart w:id="93" w:name="_Toc47527065"/>
      <w:bookmarkStart w:id="94" w:name="_Toc47686295"/>
      <w:bookmarkStart w:id="95" w:name="_Toc47690393"/>
      <w:bookmarkStart w:id="96" w:name="_Toc47691763"/>
      <w:bookmarkStart w:id="97" w:name="_Toc47692225"/>
      <w:bookmarkStart w:id="98" w:name="_Toc47692319"/>
      <w:bookmarkStart w:id="99" w:name="_Toc47693434"/>
      <w:bookmarkStart w:id="100" w:name="_Toc47702397"/>
      <w:bookmarkStart w:id="101" w:name="_Toc47702960"/>
      <w:bookmarkStart w:id="102" w:name="_Toc47708276"/>
      <w:bookmarkStart w:id="103" w:name="_Toc47714244"/>
      <w:bookmarkStart w:id="104" w:name="_Toc47733733"/>
      <w:bookmarkStart w:id="105" w:name="_Toc47734087"/>
      <w:bookmarkStart w:id="106" w:name="_Toc54189374"/>
      <w:bookmarkStart w:id="107" w:name="_Toc54205958"/>
      <w:bookmarkStart w:id="108" w:name="_Toc54382823"/>
      <w:r w:rsidRPr="009F7FCE">
        <w:t xml:space="preserve">Specify H/S/NA attributes </w:t>
      </w:r>
      <w:r w:rsidR="00746AAA" w:rsidRPr="009F7FCE">
        <w:t>for</w:t>
      </w:r>
      <w:r w:rsidRPr="009F7FCE">
        <w:t xml:space="preserve"> IAB-DU frequency-domain resources, using the Rel-16 H/S/NA configuration structure as the baseline.</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6E6E8D98" w14:textId="512BAC77" w:rsidR="00FE49A2" w:rsidRPr="009F7FCE" w:rsidRDefault="00DE75C7" w:rsidP="00B15362">
      <w:pPr>
        <w:jc w:val="both"/>
      </w:pPr>
      <w:r w:rsidRPr="009F7FCE">
        <w:t xml:space="preserve">For </w:t>
      </w:r>
      <w:r w:rsidR="00746AAA" w:rsidRPr="009F7FCE">
        <w:t xml:space="preserve">transmission/reception </w:t>
      </w:r>
      <w:r w:rsidR="00CD4033" w:rsidRPr="009F7FCE">
        <w:t>direction</w:t>
      </w:r>
      <w:r w:rsidR="00746AAA" w:rsidRPr="009F7FCE">
        <w:t>s (i.e. beams)</w:t>
      </w:r>
      <w:r w:rsidR="00CD4033" w:rsidRPr="009F7FCE">
        <w:t xml:space="preserve"> </w:t>
      </w:r>
      <w:r w:rsidR="00B12C6C" w:rsidRPr="009F7FCE">
        <w:t>where</w:t>
      </w:r>
      <w:r w:rsidRPr="009F7FCE">
        <w:t xml:space="preserve"> the IAB-MT and IAB-DU can use </w:t>
      </w:r>
      <w:r w:rsidR="00B12C6C" w:rsidRPr="009F7FCE">
        <w:t>the same</w:t>
      </w:r>
      <w:r w:rsidRPr="009F7FCE">
        <w:t xml:space="preserve"> time- and frequency-domain resources simultaneously</w:t>
      </w:r>
      <w:r w:rsidR="00060857" w:rsidRPr="009F7FCE">
        <w:t xml:space="preserve"> (i.e., capable of SDM), </w:t>
      </w:r>
      <w:r w:rsidR="00874265" w:rsidRPr="009F7FCE">
        <w:t xml:space="preserve">the </w:t>
      </w:r>
      <w:r w:rsidR="00C17F41" w:rsidRPr="009F7FCE">
        <w:t xml:space="preserve">Rel-16 </w:t>
      </w:r>
      <w:r w:rsidR="00874265" w:rsidRPr="009F7FCE">
        <w:t xml:space="preserve">H/S </w:t>
      </w:r>
      <w:r w:rsidR="009709B6" w:rsidRPr="009F7FCE">
        <w:t xml:space="preserve">mechanism </w:t>
      </w:r>
      <w:r w:rsidR="001E5FEF" w:rsidRPr="009F7FCE">
        <w:t>is not ne</w:t>
      </w:r>
      <w:r w:rsidR="002153CC" w:rsidRPr="009F7FCE">
        <w:t>eded</w:t>
      </w:r>
      <w:r w:rsidR="00ED0763" w:rsidRPr="009F7FCE">
        <w:t xml:space="preserve"> due to the space</w:t>
      </w:r>
      <w:r w:rsidR="00977654" w:rsidRPr="009F7FCE">
        <w:t>-</w:t>
      </w:r>
      <w:r w:rsidR="00ED0763" w:rsidRPr="009F7FCE">
        <w:t>domain orthogonality</w:t>
      </w:r>
      <w:r w:rsidRPr="009F7FCE">
        <w:t>.</w:t>
      </w:r>
      <w:r w:rsidR="005975E3" w:rsidRPr="009F7FCE">
        <w:t xml:space="preserve"> For </w:t>
      </w:r>
      <w:r w:rsidR="00092196" w:rsidRPr="009F7FCE">
        <w:t xml:space="preserve">IAB-DU </w:t>
      </w:r>
      <w:r w:rsidR="005975E3" w:rsidRPr="009F7FCE">
        <w:t>transmission directions</w:t>
      </w:r>
      <w:r w:rsidR="006E6EAF" w:rsidRPr="009F7FCE">
        <w:t xml:space="preserve"> </w:t>
      </w:r>
      <w:r w:rsidR="007E317C" w:rsidRPr="009F7FCE">
        <w:t xml:space="preserve">that </w:t>
      </w:r>
      <w:r w:rsidR="00851327" w:rsidRPr="009F7FCE">
        <w:t xml:space="preserve">will </w:t>
      </w:r>
      <w:r w:rsidR="000A7446" w:rsidRPr="009F7FCE">
        <w:t xml:space="preserve">cause unacceptable performance degradation of the </w:t>
      </w:r>
      <w:r w:rsidR="00B12C6C" w:rsidRPr="009F7FCE">
        <w:t>backhaul link to the parent IAB</w:t>
      </w:r>
      <w:r w:rsidR="006E12C0" w:rsidRPr="009F7FCE">
        <w:t>-</w:t>
      </w:r>
      <w:r w:rsidR="00B12C6C" w:rsidRPr="009F7FCE">
        <w:t>DU</w:t>
      </w:r>
      <w:r w:rsidR="005D044B" w:rsidRPr="009F7FCE">
        <w:t xml:space="preserve">, </w:t>
      </w:r>
      <w:r w:rsidR="00F2414F" w:rsidRPr="009F7FCE">
        <w:t>time</w:t>
      </w:r>
      <w:r w:rsidR="00203597" w:rsidRPr="009F7FCE">
        <w:t xml:space="preserve">- or frequency-domain </w:t>
      </w:r>
      <w:r w:rsidR="00EF53BD" w:rsidRPr="009F7FCE">
        <w:t xml:space="preserve">H/S/NA </w:t>
      </w:r>
      <w:r w:rsidR="00951A8F" w:rsidRPr="009F7FCE">
        <w:t>configurations should be resorted to</w:t>
      </w:r>
      <w:r w:rsidR="006310BF" w:rsidRPr="009F7FCE">
        <w:t xml:space="preserve">. </w:t>
      </w:r>
      <w:r w:rsidRPr="009F7FCE">
        <w:t xml:space="preserve"> Configuring NA on link-basis at the IAB-DU can be useful to semi-statically disable certain child link</w:t>
      </w:r>
      <w:r w:rsidR="00A17628" w:rsidRPr="009F7FCE">
        <w:t>s</w:t>
      </w:r>
      <w:r w:rsidRPr="009F7FCE">
        <w:t xml:space="preserve"> and/or access link</w:t>
      </w:r>
      <w:r w:rsidR="00A17628" w:rsidRPr="009F7FCE">
        <w:t>s</w:t>
      </w:r>
      <w:r w:rsidRPr="009F7FCE">
        <w:t xml:space="preserve"> of the IAB-DU</w:t>
      </w:r>
      <w:r w:rsidR="009B2668" w:rsidRPr="009F7FCE">
        <w:t>. One application</w:t>
      </w:r>
      <w:r w:rsidR="00C97950" w:rsidRPr="009F7FCE">
        <w:t xml:space="preserve"> is to disable </w:t>
      </w:r>
      <w:r w:rsidR="00DC530E" w:rsidRPr="009F7FCE">
        <w:t xml:space="preserve">a </w:t>
      </w:r>
      <w:r w:rsidR="00DC530E" w:rsidRPr="009F7FCE">
        <w:lastRenderedPageBreak/>
        <w:t>child</w:t>
      </w:r>
      <w:r w:rsidR="000C0BB9" w:rsidRPr="009F7FCE">
        <w:t>/access</w:t>
      </w:r>
      <w:r w:rsidR="00DC530E" w:rsidRPr="009F7FCE">
        <w:t xml:space="preserve"> link</w:t>
      </w:r>
      <w:r w:rsidR="006E12C0" w:rsidRPr="009F7FCE">
        <w:t xml:space="preserve"> that </w:t>
      </w:r>
      <w:r w:rsidR="00791FF9" w:rsidRPr="009F7FCE">
        <w:t>cause</w:t>
      </w:r>
      <w:r w:rsidR="00DC3EF7" w:rsidRPr="009F7FCE">
        <w:t>s</w:t>
      </w:r>
      <w:r w:rsidR="00791FF9" w:rsidRPr="009F7FCE">
        <w:t xml:space="preserve"> substantial </w:t>
      </w:r>
      <w:r w:rsidR="006E12C0" w:rsidRPr="009F7FCE">
        <w:t>interfere</w:t>
      </w:r>
      <w:r w:rsidR="00791FF9" w:rsidRPr="009F7FCE">
        <w:t>nce</w:t>
      </w:r>
      <w:r w:rsidR="006E12C0" w:rsidRPr="009F7FCE">
        <w:t xml:space="preserve"> </w:t>
      </w:r>
      <w:r w:rsidR="00A17628" w:rsidRPr="009F7FCE">
        <w:t>to</w:t>
      </w:r>
      <w:r w:rsidR="006E12C0" w:rsidRPr="009F7FCE">
        <w:t xml:space="preserve"> </w:t>
      </w:r>
      <w:r w:rsidR="008366F5" w:rsidRPr="009F7FCE">
        <w:t>another backhaul</w:t>
      </w:r>
      <w:r w:rsidR="006E12C0" w:rsidRPr="009F7FCE">
        <w:t xml:space="preserve"> link</w:t>
      </w:r>
      <w:r w:rsidRPr="009F7FCE">
        <w:t>.</w:t>
      </w:r>
      <w:r w:rsidR="00D20E1B" w:rsidRPr="009F7FCE">
        <w:t xml:space="preserve"> With these aspects considered, it is FFS whether and how to restrict IAB-DU’s usage of space-domain resources so that the IAB-DU can adapt its behavior to suit different conditions.</w:t>
      </w:r>
      <w:r w:rsidR="0060696C" w:rsidRPr="009F7FCE">
        <w:t xml:space="preserve"> A related matter is then how such restrictions should be defined</w:t>
      </w:r>
      <w:r w:rsidR="006A7BA0" w:rsidRPr="009F7FCE">
        <w:t>;</w:t>
      </w:r>
      <w:r w:rsidR="008556DC" w:rsidRPr="009F7FCE">
        <w:t xml:space="preserve"> </w:t>
      </w:r>
      <w:r w:rsidR="0060696C" w:rsidRPr="009F7FCE">
        <w:t>in</w:t>
      </w:r>
      <w:r w:rsidR="008556DC" w:rsidRPr="009F7FCE">
        <w:t xml:space="preserve"> </w:t>
      </w:r>
      <w:r w:rsidR="0060696C" w:rsidRPr="009F7FCE">
        <w:t>terms of links, beams</w:t>
      </w:r>
      <w:r w:rsidR="008556DC" w:rsidRPr="009F7FCE">
        <w:t>, angles</w:t>
      </w:r>
      <w:r w:rsidR="0060696C" w:rsidRPr="009F7FCE">
        <w:t>, or something else.</w:t>
      </w:r>
    </w:p>
    <w:p w14:paraId="55FE1E30" w14:textId="340B39A4" w:rsidR="00FE49A2" w:rsidRPr="009F7FCE" w:rsidRDefault="00DE75C7" w:rsidP="00624283">
      <w:pPr>
        <w:pStyle w:val="Observation"/>
        <w:jc w:val="both"/>
      </w:pPr>
      <w:bookmarkStart w:id="109" w:name="_Toc54189361"/>
      <w:bookmarkStart w:id="110" w:name="_Toc54205946"/>
      <w:bookmarkStart w:id="111" w:name="_Toc54382811"/>
      <w:r w:rsidRPr="009F7FCE">
        <w:t xml:space="preserve">The </w:t>
      </w:r>
      <w:r w:rsidR="00C82678" w:rsidRPr="009F7FCE">
        <w:t xml:space="preserve">Rel-16 </w:t>
      </w:r>
      <w:r w:rsidRPr="009F7FCE">
        <w:t>H/S</w:t>
      </w:r>
      <w:r w:rsidR="004441CA" w:rsidRPr="009F7FCE">
        <w:t xml:space="preserve"> </w:t>
      </w:r>
      <w:r w:rsidR="001847E4" w:rsidRPr="009F7FCE">
        <w:t xml:space="preserve">concept </w:t>
      </w:r>
      <w:r w:rsidRPr="009F7FCE">
        <w:t xml:space="preserve">is not </w:t>
      </w:r>
      <w:r w:rsidR="00C82678" w:rsidRPr="009F7FCE">
        <w:t>applicable</w:t>
      </w:r>
      <w:r w:rsidRPr="009F7FCE">
        <w:t xml:space="preserve"> in space-domain.</w:t>
      </w:r>
      <w:bookmarkEnd w:id="109"/>
      <w:bookmarkEnd w:id="110"/>
      <w:bookmarkEnd w:id="111"/>
    </w:p>
    <w:p w14:paraId="6DDB0065" w14:textId="4718A97B" w:rsidR="00FE49A2" w:rsidRPr="009F7FCE" w:rsidRDefault="00DE75C7" w:rsidP="00624283">
      <w:pPr>
        <w:pStyle w:val="Observation"/>
        <w:jc w:val="both"/>
      </w:pPr>
      <w:bookmarkStart w:id="112" w:name="_Toc54189362"/>
      <w:bookmarkStart w:id="113" w:name="_Toc54205947"/>
      <w:bookmarkStart w:id="114" w:name="_Toc54382812"/>
      <w:r w:rsidRPr="009F7FCE">
        <w:t xml:space="preserve">Configuring NA on link-basis at the IAB-DU can be useful to semi-statically </w:t>
      </w:r>
      <w:r w:rsidR="00DD3729" w:rsidRPr="009F7FCE">
        <w:t>resource-wise restrict</w:t>
      </w:r>
      <w:r w:rsidRPr="009F7FCE">
        <w:t xml:space="preserve"> certain child link and/or access link</w:t>
      </w:r>
      <w:r w:rsidR="00DD3729" w:rsidRPr="009F7FCE">
        <w:t>s</w:t>
      </w:r>
      <w:r w:rsidRPr="009F7FCE">
        <w:t xml:space="preserve"> of the IAB-DU.</w:t>
      </w:r>
      <w:bookmarkStart w:id="115" w:name="_Toc21012714"/>
      <w:bookmarkStart w:id="116" w:name="_Toc21013635"/>
      <w:bookmarkStart w:id="117" w:name="_Toc21013976"/>
      <w:bookmarkStart w:id="118" w:name="_Toc21073570"/>
      <w:bookmarkStart w:id="119" w:name="_Toc21073712"/>
      <w:bookmarkStart w:id="120" w:name="_Toc21073989"/>
      <w:bookmarkStart w:id="121" w:name="_Toc21079337"/>
      <w:bookmarkStart w:id="122" w:name="_Toc21096934"/>
      <w:bookmarkStart w:id="123" w:name="_Toc21096965"/>
      <w:bookmarkStart w:id="124" w:name="_Toc21097362"/>
      <w:bookmarkStart w:id="125" w:name="_Toc21097509"/>
      <w:bookmarkStart w:id="126" w:name="_Toc21097558"/>
      <w:bookmarkStart w:id="127" w:name="_Toc21098316"/>
      <w:bookmarkStart w:id="128" w:name="_Toc21111685"/>
      <w:bookmarkStart w:id="129" w:name="_Toc22566706"/>
      <w:bookmarkStart w:id="130" w:name="_Toc22646257"/>
      <w:bookmarkStart w:id="131" w:name="_Toc22649868"/>
      <w:bookmarkStart w:id="132" w:name="_Toc22893285"/>
      <w:bookmarkStart w:id="133" w:name="_Toc22894167"/>
      <w:bookmarkStart w:id="134" w:name="_Toc23164372"/>
      <w:bookmarkStart w:id="135" w:name="_Toc23164664"/>
      <w:bookmarkEnd w:id="112"/>
      <w:bookmarkEnd w:id="113"/>
      <w:bookmarkEnd w:id="114"/>
    </w:p>
    <w:p w14:paraId="75FB293D" w14:textId="2D3234E3" w:rsidR="003D3BBA" w:rsidRPr="009F7FCE" w:rsidRDefault="00DD3729" w:rsidP="00B15362">
      <w:pPr>
        <w:pStyle w:val="Proposal"/>
        <w:jc w:val="both"/>
      </w:pPr>
      <w:bookmarkStart w:id="136" w:name="_Toc54189375"/>
      <w:bookmarkStart w:id="137" w:name="_Toc54205959"/>
      <w:bookmarkStart w:id="138" w:name="_Toc54382824"/>
      <w:r w:rsidRPr="009F7FCE">
        <w:t>Further study</w:t>
      </w:r>
      <w:r w:rsidR="003D3BBA" w:rsidRPr="009F7FCE">
        <w:t xml:space="preserve"> </w:t>
      </w:r>
      <w:r w:rsidR="00274A0B" w:rsidRPr="009F7FCE">
        <w:t xml:space="preserve">whether </w:t>
      </w:r>
      <w:r w:rsidRPr="009F7FCE">
        <w:t xml:space="preserve">and how </w:t>
      </w:r>
      <w:r w:rsidR="00274A0B" w:rsidRPr="009F7FCE">
        <w:t xml:space="preserve">to restrict </w:t>
      </w:r>
      <w:r w:rsidR="00B36527" w:rsidRPr="009F7FCE">
        <w:t xml:space="preserve">IAB-DU from </w:t>
      </w:r>
      <w:r w:rsidR="000909B3" w:rsidRPr="009F7FCE">
        <w:t>accessing</w:t>
      </w:r>
      <w:r w:rsidR="00AC6D04" w:rsidRPr="009F7FCE">
        <w:t xml:space="preserve"> certain space-domain resource</w:t>
      </w:r>
      <w:r w:rsidR="00FD3463" w:rsidRPr="009F7FCE">
        <w:t>s</w:t>
      </w:r>
      <w:r w:rsidR="005506B5" w:rsidRPr="009F7FCE">
        <w:t xml:space="preserve"> (e.g., in terms of link, </w:t>
      </w:r>
      <w:r w:rsidR="00B270A7" w:rsidRPr="009F7FCE">
        <w:t>beam or angle</w:t>
      </w:r>
      <w:r w:rsidR="005506B5" w:rsidRPr="009F7FCE">
        <w:t>)</w:t>
      </w:r>
      <w:r w:rsidR="00AC6D04" w:rsidRPr="009F7FCE">
        <w:t>.</w:t>
      </w:r>
      <w:bookmarkEnd w:id="136"/>
      <w:bookmarkEnd w:id="137"/>
      <w:bookmarkEnd w:id="138"/>
    </w:p>
    <w:p w14:paraId="5D75E57E" w14:textId="46492930" w:rsidR="00DE75C7" w:rsidRPr="009F7FCE" w:rsidRDefault="00DE75C7" w:rsidP="00B15362">
      <w:pPr>
        <w:jc w:val="both"/>
      </w:pPr>
      <w:r w:rsidRPr="009F7FCE">
        <w:t xml:space="preserve">When H/S/NA is not configured, </w:t>
      </w:r>
      <w:r w:rsidR="00992F40" w:rsidRPr="009F7FCE">
        <w:t>time- and/or frequency</w:t>
      </w:r>
      <w:r w:rsidRPr="009F7FCE">
        <w:t xml:space="preserve">-domain resources of the DU cell can be treated as </w:t>
      </w:r>
      <w:r w:rsidRPr="009F7FCE">
        <w:rPr>
          <w:i/>
        </w:rPr>
        <w:t>Soft</w:t>
      </w:r>
      <w:r w:rsidRPr="009F7FCE">
        <w:t xml:space="preserve"> with respect to the corresponding MT </w:t>
      </w:r>
      <w:r w:rsidR="000909B3" w:rsidRPr="009F7FCE">
        <w:t>component carrier (</w:t>
      </w:r>
      <w:r w:rsidRPr="009F7FCE">
        <w:t>CC</w:t>
      </w:r>
      <w:r w:rsidR="000909B3" w:rsidRPr="009F7FCE">
        <w:t>)</w:t>
      </w:r>
      <w:r w:rsidRPr="009F7FCE">
        <w:t xml:space="preserve">. When the resource in question (either in time-domain or frequency-domain) cannot be used simultaneously by the IAB-MT and IAB-DU, treating the IAB-DU resource as soft gives the </w:t>
      </w:r>
      <w:r w:rsidR="00F15C34" w:rsidRPr="009F7FCE">
        <w:t xml:space="preserve">parent backhaul link </w:t>
      </w:r>
      <w:r w:rsidRPr="009F7FCE">
        <w:t>priority to the</w:t>
      </w:r>
      <w:r w:rsidR="00F15C34" w:rsidRPr="009F7FCE">
        <w:t xml:space="preserve"> resource</w:t>
      </w:r>
      <w:r w:rsidRPr="009F7FCE">
        <w:t xml:space="preserve">. It is a reasonable strategy since the parent link typically carries higher traffic load than the child link(s) and </w:t>
      </w:r>
      <w:r w:rsidR="00F15C34" w:rsidRPr="009F7FCE">
        <w:t>has a higher</w:t>
      </w:r>
      <w:r w:rsidRPr="009F7FCE">
        <w:t xml:space="preserve"> demand for resources. When </w:t>
      </w:r>
      <w:r w:rsidR="00910A00" w:rsidRPr="009F7FCE">
        <w:t xml:space="preserve">link properties </w:t>
      </w:r>
      <w:r w:rsidR="00BC4A38" w:rsidRPr="009F7FCE">
        <w:t>and multiplexing capabilities</w:t>
      </w:r>
      <w:r w:rsidR="00910A00" w:rsidRPr="009F7FCE">
        <w:t xml:space="preserve"> allow</w:t>
      </w:r>
      <w:r w:rsidR="00006163" w:rsidRPr="009F7FCE">
        <w:t>,</w:t>
      </w:r>
      <w:r w:rsidR="00910A00" w:rsidRPr="009F7FCE">
        <w:t xml:space="preserve"> </w:t>
      </w:r>
      <w:r w:rsidRPr="009F7FCE">
        <w:t>the resource in question can be used simultaneously by the IAB-MT and IAB-DU</w:t>
      </w:r>
      <w:r w:rsidR="00012759" w:rsidRPr="009F7FCE">
        <w:t>. T</w:t>
      </w:r>
      <w:r w:rsidRPr="009F7FCE">
        <w:t>reating the IAB-DU resource as soft can be interpreted as follows:</w:t>
      </w:r>
    </w:p>
    <w:p w14:paraId="0EF1EB6B" w14:textId="77777777" w:rsidR="00DE75C7" w:rsidRPr="009F7FCE" w:rsidRDefault="00DE75C7" w:rsidP="00B15362">
      <w:pPr>
        <w:pStyle w:val="ListParagraph"/>
        <w:numPr>
          <w:ilvl w:val="0"/>
          <w:numId w:val="25"/>
        </w:numPr>
        <w:contextualSpacing/>
        <w:jc w:val="both"/>
        <w:rPr>
          <w:lang w:val="en-US"/>
        </w:rPr>
      </w:pPr>
      <w:r w:rsidRPr="009F7FCE">
        <w:rPr>
          <w:lang w:val="en-US"/>
        </w:rPr>
        <w:t xml:space="preserve">regarding the </w:t>
      </w:r>
      <w:r w:rsidRPr="009F7FCE">
        <w:rPr>
          <w:i/>
          <w:iCs/>
          <w:lang w:val="en-US"/>
        </w:rPr>
        <w:t>Soft</w:t>
      </w:r>
      <w:r w:rsidRPr="009F7FCE">
        <w:rPr>
          <w:lang w:val="en-US"/>
        </w:rPr>
        <w:t xml:space="preserve"> IAB-DU resource, the parent node could assume that the corresponding IAB-MT resource is available, and </w:t>
      </w:r>
    </w:p>
    <w:p w14:paraId="2BCCBB42" w14:textId="041468B5" w:rsidR="002F1C84" w:rsidRPr="009F7FCE" w:rsidRDefault="00DE75C7" w:rsidP="00B15362">
      <w:pPr>
        <w:pStyle w:val="ListParagraph"/>
        <w:numPr>
          <w:ilvl w:val="0"/>
          <w:numId w:val="25"/>
        </w:numPr>
        <w:contextualSpacing/>
        <w:jc w:val="both"/>
        <w:rPr>
          <w:lang w:val="en-US"/>
        </w:rPr>
      </w:pPr>
      <w:r w:rsidRPr="009F7FCE">
        <w:rPr>
          <w:lang w:val="en-US"/>
        </w:rPr>
        <w:t>the IAB-node capability enables the IAB-DU to use the soft resource simultaneously without impacting the IAB-MT.</w:t>
      </w:r>
    </w:p>
    <w:p w14:paraId="63339EE4" w14:textId="733709CA" w:rsidR="00DE75C7" w:rsidRPr="009F7FCE" w:rsidRDefault="00DE75C7" w:rsidP="00B15362">
      <w:pPr>
        <w:pStyle w:val="Proposal"/>
        <w:jc w:val="both"/>
      </w:pPr>
      <w:bookmarkStart w:id="139" w:name="_Toc21079338"/>
      <w:bookmarkStart w:id="140" w:name="_Toc21097363"/>
      <w:bookmarkStart w:id="141" w:name="_Toc21097510"/>
      <w:bookmarkStart w:id="142" w:name="_Toc21097559"/>
      <w:bookmarkStart w:id="143" w:name="_Toc21098317"/>
      <w:bookmarkStart w:id="144" w:name="_Toc23238162"/>
      <w:bookmarkStart w:id="145" w:name="_Toc23238611"/>
      <w:bookmarkStart w:id="146" w:name="_Toc23255582"/>
      <w:bookmarkStart w:id="147" w:name="_Toc23258012"/>
      <w:bookmarkStart w:id="148" w:name="_Toc23258405"/>
      <w:bookmarkStart w:id="149" w:name="_Toc23319283"/>
      <w:bookmarkStart w:id="150" w:name="_Toc45629715"/>
      <w:bookmarkStart w:id="151" w:name="_Toc45631281"/>
      <w:bookmarkStart w:id="152" w:name="_Toc45636688"/>
      <w:bookmarkStart w:id="153" w:name="_Toc45639184"/>
      <w:bookmarkStart w:id="154" w:name="_Toc45639252"/>
      <w:bookmarkStart w:id="155" w:name="_Toc45698720"/>
      <w:bookmarkStart w:id="156" w:name="_Toc45698533"/>
      <w:bookmarkStart w:id="157" w:name="_Toc45698545"/>
      <w:bookmarkStart w:id="158" w:name="_Toc45784688"/>
      <w:bookmarkStart w:id="159" w:name="_Toc45785262"/>
      <w:bookmarkStart w:id="160" w:name="_Toc45786038"/>
      <w:bookmarkStart w:id="161" w:name="_Toc46151866"/>
      <w:bookmarkStart w:id="162" w:name="_Toc46734761"/>
      <w:bookmarkStart w:id="163" w:name="_Toc47527064"/>
      <w:bookmarkStart w:id="164" w:name="_Toc47686294"/>
      <w:bookmarkStart w:id="165" w:name="_Toc47690392"/>
      <w:bookmarkStart w:id="166" w:name="_Toc47691762"/>
      <w:bookmarkStart w:id="167" w:name="_Toc47692224"/>
      <w:bookmarkStart w:id="168" w:name="_Toc47692318"/>
      <w:bookmarkStart w:id="169" w:name="_Toc47693433"/>
      <w:bookmarkStart w:id="170" w:name="_Toc47702396"/>
      <w:bookmarkStart w:id="171" w:name="_Toc47702959"/>
      <w:bookmarkStart w:id="172" w:name="_Toc47708275"/>
      <w:bookmarkStart w:id="173" w:name="_Toc47714243"/>
      <w:bookmarkStart w:id="174" w:name="_Toc47733732"/>
      <w:bookmarkStart w:id="175" w:name="_Toc47734086"/>
      <w:bookmarkStart w:id="176" w:name="_Toc54189376"/>
      <w:bookmarkStart w:id="177" w:name="_Toc54205960"/>
      <w:bookmarkStart w:id="178" w:name="_Toc54382825"/>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9"/>
      <w:bookmarkEnd w:id="140"/>
      <w:bookmarkEnd w:id="141"/>
      <w:bookmarkEnd w:id="142"/>
      <w:bookmarkEnd w:id="143"/>
      <w:r w:rsidRPr="009F7FCE">
        <w:t xml:space="preserve">A default resource attribute for the IAB-DU H/S/NA resource configuration is </w:t>
      </w:r>
      <w:r w:rsidRPr="009F7FCE">
        <w:rPr>
          <w:i/>
        </w:rPr>
        <w:t>Soft</w:t>
      </w:r>
      <w:r w:rsidRPr="009F7FCE">
        <w:t>.</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510D9D8C" w14:textId="54EA61A8" w:rsidR="002F1C84" w:rsidRPr="009F7FCE" w:rsidRDefault="00453FCD" w:rsidP="00B15362">
      <w:pPr>
        <w:jc w:val="both"/>
        <w:rPr>
          <w:rFonts w:cs="Times"/>
          <w:szCs w:val="20"/>
        </w:rPr>
      </w:pPr>
      <w:bookmarkStart w:id="179" w:name="_Toc54189377"/>
      <w:bookmarkStart w:id="180" w:name="_Toc54205961"/>
      <w:bookmarkEnd w:id="179"/>
      <w:bookmarkEnd w:id="180"/>
      <w:r w:rsidRPr="009F7FCE">
        <w:t xml:space="preserve">Regarding </w:t>
      </w:r>
      <w:r w:rsidRPr="009F7FCE">
        <w:rPr>
          <w:rFonts w:cs="Times"/>
          <w:szCs w:val="20"/>
        </w:rPr>
        <w:t>cell-specific</w:t>
      </w:r>
      <w:r w:rsidR="0076104C" w:rsidRPr="009F7FCE">
        <w:rPr>
          <w:rFonts w:cs="Times"/>
          <w:szCs w:val="20"/>
        </w:rPr>
        <w:t>/semi-static</w:t>
      </w:r>
      <w:r w:rsidRPr="009F7FCE">
        <w:rPr>
          <w:rFonts w:cs="Times"/>
          <w:szCs w:val="20"/>
        </w:rPr>
        <w:t xml:space="preserve"> signals and channels at the IAB-DU, such as SSB transmission, PRACH reception, periodical CSI-RS transmission, </w:t>
      </w:r>
      <w:r w:rsidR="0033721F" w:rsidRPr="009F7FCE">
        <w:rPr>
          <w:rFonts w:cs="Times"/>
          <w:szCs w:val="20"/>
        </w:rPr>
        <w:t xml:space="preserve">PDCCH transmission for Type0-PDCCH CSS sets configured by </w:t>
      </w:r>
      <w:r w:rsidR="0033721F" w:rsidRPr="009F7FCE">
        <w:rPr>
          <w:rFonts w:cs="Times"/>
          <w:i/>
          <w:szCs w:val="20"/>
        </w:rPr>
        <w:t>pdcchConfigSIB1</w:t>
      </w:r>
      <w:r w:rsidR="002D5381" w:rsidRPr="009F7FCE">
        <w:rPr>
          <w:rFonts w:cs="Times"/>
          <w:szCs w:val="20"/>
        </w:rPr>
        <w:t xml:space="preserve"> </w:t>
      </w:r>
      <w:r w:rsidRPr="009F7FCE">
        <w:rPr>
          <w:rFonts w:cs="Times"/>
          <w:szCs w:val="20"/>
        </w:rPr>
        <w:t xml:space="preserve">and SR reception, the same rule as in Rel-16 should be followed that the resource is treated as if it were a Hard DU resource, even if a DU NA or Soft resource is configured. This </w:t>
      </w:r>
      <w:r w:rsidR="00E61846" w:rsidRPr="009F7FCE">
        <w:rPr>
          <w:rFonts w:cs="Times"/>
          <w:szCs w:val="20"/>
        </w:rPr>
        <w:t>should be</w:t>
      </w:r>
      <w:r w:rsidRPr="009F7FCE">
        <w:rPr>
          <w:rFonts w:cs="Times"/>
          <w:szCs w:val="20"/>
        </w:rPr>
        <w:t xml:space="preserve"> equally valid if </w:t>
      </w:r>
      <w:r w:rsidR="00E61846" w:rsidRPr="009F7FCE">
        <w:rPr>
          <w:rFonts w:cs="Times"/>
          <w:szCs w:val="20"/>
        </w:rPr>
        <w:t xml:space="preserve">a H/S/NA concept in </w:t>
      </w:r>
      <w:r w:rsidRPr="009F7FCE">
        <w:rPr>
          <w:rFonts w:cs="Times"/>
          <w:szCs w:val="20"/>
        </w:rPr>
        <w:t>frequency-domain is specified in Rel-17.</w:t>
      </w:r>
    </w:p>
    <w:p w14:paraId="25A267A2" w14:textId="52CDDADA" w:rsidR="00453FCD" w:rsidRPr="009F7FCE" w:rsidRDefault="006A373E" w:rsidP="00B15362">
      <w:pPr>
        <w:pStyle w:val="Proposal"/>
        <w:jc w:val="both"/>
      </w:pPr>
      <w:bookmarkStart w:id="181" w:name="_Toc54382826"/>
      <w:r w:rsidRPr="009F7FCE">
        <w:t>A f</w:t>
      </w:r>
      <w:r w:rsidR="00453FCD" w:rsidRPr="009F7FCE">
        <w:t>requency-domain DU resource assigned to cell-specific</w:t>
      </w:r>
      <w:r w:rsidR="004A58EA" w:rsidRPr="009F7FCE">
        <w:t>/semi-static</w:t>
      </w:r>
      <w:r w:rsidR="00453FCD" w:rsidRPr="009F7FCE">
        <w:t xml:space="preserve"> signals/channels, such as SSB transmission, PRACH reception, periodic CSI-RS transmission</w:t>
      </w:r>
      <w:r w:rsidR="00DF7BFD" w:rsidRPr="009F7FCE">
        <w:t xml:space="preserve">, </w:t>
      </w:r>
      <w:r w:rsidR="0075334C" w:rsidRPr="009F7FCE">
        <w:rPr>
          <w:rFonts w:cs="Times"/>
          <w:szCs w:val="20"/>
        </w:rPr>
        <w:t>PDCCH transmission for Type0-PDCCH CSS sets</w:t>
      </w:r>
      <w:r w:rsidR="00453FCD" w:rsidRPr="009F7FCE">
        <w:t xml:space="preserve"> and SR reception, is always treated as if it were configured as a Hard DU resource.</w:t>
      </w:r>
      <w:bookmarkEnd w:id="181"/>
      <w:r w:rsidR="00453FCD" w:rsidRPr="009F7FCE">
        <w:t xml:space="preserve">  </w:t>
      </w:r>
    </w:p>
    <w:p w14:paraId="4E4CB03A" w14:textId="1A23A29A" w:rsidR="002F1C84" w:rsidRPr="009F7FCE" w:rsidRDefault="00453FCD" w:rsidP="00B15362">
      <w:pPr>
        <w:jc w:val="both"/>
        <w:rPr>
          <w:rFonts w:cs="Times"/>
          <w:szCs w:val="20"/>
        </w:rPr>
      </w:pPr>
      <w:r w:rsidRPr="009F7FCE">
        <w:rPr>
          <w:rFonts w:cs="Times"/>
          <w:szCs w:val="20"/>
        </w:rPr>
        <w:t>Additionally, to be compatible with Rel-16 and earlier release UEs, the associated transmission direction at least for SSB transmission, PRACH reception, SI</w:t>
      </w:r>
      <w:r w:rsidR="00C76E82" w:rsidRPr="009F7FCE">
        <w:rPr>
          <w:rFonts w:cs="Times"/>
          <w:szCs w:val="20"/>
        </w:rPr>
        <w:t>B</w:t>
      </w:r>
      <w:r w:rsidRPr="009F7FCE">
        <w:rPr>
          <w:rFonts w:cs="Times"/>
          <w:szCs w:val="20"/>
        </w:rPr>
        <w:t xml:space="preserve"> transmission and SR reception at the IAB-DU should </w:t>
      </w:r>
      <w:r w:rsidR="00FE608F" w:rsidRPr="009F7FCE">
        <w:rPr>
          <w:rFonts w:cs="Times"/>
          <w:szCs w:val="20"/>
        </w:rPr>
        <w:t>be</w:t>
      </w:r>
      <w:r w:rsidRPr="009F7FCE">
        <w:rPr>
          <w:rFonts w:cs="Times"/>
          <w:szCs w:val="20"/>
        </w:rPr>
        <w:t xml:space="preserve"> maintained, even if the semi-static DL/UL configuration of DU of some IAB-nodes has been reverted to enable simultaneous IAB-MT and IAB-DU operations.</w:t>
      </w:r>
    </w:p>
    <w:p w14:paraId="4496069F" w14:textId="5F4E03A4" w:rsidR="00453FCD" w:rsidRPr="009F7FCE" w:rsidRDefault="00453FCD" w:rsidP="00B15362">
      <w:pPr>
        <w:pStyle w:val="Proposal"/>
        <w:jc w:val="both"/>
      </w:pPr>
      <w:bookmarkStart w:id="182" w:name="_Toc54382827"/>
      <w:r w:rsidRPr="009F7FCE">
        <w:t>Dedicated transmission direction</w:t>
      </w:r>
      <w:r w:rsidR="006A373E" w:rsidRPr="009F7FCE">
        <w:t>s</w:t>
      </w:r>
      <w:r w:rsidRPr="009F7FCE">
        <w:t xml:space="preserve"> </w:t>
      </w:r>
      <w:r w:rsidR="001F4E74" w:rsidRPr="009F7FCE">
        <w:t xml:space="preserve">in terms of DL/UL </w:t>
      </w:r>
      <w:r w:rsidRPr="009F7FCE">
        <w:t>for cell-specific signals/channels should be maintained when configuring simultaneous operation at an IAB-node.</w:t>
      </w:r>
      <w:bookmarkEnd w:id="182"/>
    </w:p>
    <w:p w14:paraId="4A88DB13" w14:textId="0427712F" w:rsidR="00453FCD" w:rsidRPr="009F7FCE" w:rsidRDefault="00453FCD" w:rsidP="00B15362">
      <w:pPr>
        <w:jc w:val="both"/>
        <w:rPr>
          <w:rFonts w:cs="Times"/>
          <w:szCs w:val="20"/>
        </w:rPr>
      </w:pPr>
      <w:r w:rsidRPr="009F7FCE">
        <w:rPr>
          <w:rFonts w:cs="Times"/>
          <w:szCs w:val="20"/>
        </w:rPr>
        <w:t xml:space="preserve">The Rel-15 UEs do not expect: </w:t>
      </w:r>
    </w:p>
    <w:p w14:paraId="7F495585" w14:textId="090DF73C" w:rsidR="00453FCD" w:rsidRPr="009F7FCE" w:rsidRDefault="00453FCD" w:rsidP="00B15362">
      <w:pPr>
        <w:pStyle w:val="ListParagraph"/>
        <w:numPr>
          <w:ilvl w:val="0"/>
          <w:numId w:val="32"/>
        </w:numPr>
        <w:contextualSpacing/>
        <w:jc w:val="both"/>
        <w:rPr>
          <w:rFonts w:cs="Times"/>
          <w:szCs w:val="20"/>
          <w:lang w:val="en-US"/>
        </w:rPr>
      </w:pPr>
      <w:r w:rsidRPr="009F7FCE">
        <w:rPr>
          <w:rFonts w:cs="Times"/>
          <w:szCs w:val="20"/>
          <w:lang w:val="en-US"/>
        </w:rPr>
        <w:t xml:space="preserve">to be indicated as UL </w:t>
      </w:r>
      <w:r w:rsidR="007360C0" w:rsidRPr="009F7FCE">
        <w:rPr>
          <w:rFonts w:cs="Times"/>
          <w:szCs w:val="20"/>
          <w:lang w:val="en-US"/>
        </w:rPr>
        <w:t>on</w:t>
      </w:r>
      <w:r w:rsidRPr="009F7FCE">
        <w:rPr>
          <w:rFonts w:cs="Times"/>
          <w:szCs w:val="20"/>
          <w:lang w:val="en-US"/>
        </w:rPr>
        <w:t xml:space="preserve"> symbols indicated for SSB reception;</w:t>
      </w:r>
    </w:p>
    <w:p w14:paraId="3B62C58E" w14:textId="60E0C5D1" w:rsidR="00453FCD" w:rsidRPr="009F7FCE" w:rsidRDefault="00453FCD" w:rsidP="00B15362">
      <w:pPr>
        <w:pStyle w:val="ListParagraph"/>
        <w:numPr>
          <w:ilvl w:val="0"/>
          <w:numId w:val="32"/>
        </w:numPr>
        <w:contextualSpacing/>
        <w:jc w:val="both"/>
        <w:rPr>
          <w:rFonts w:cs="Times"/>
          <w:szCs w:val="20"/>
          <w:lang w:val="en-US"/>
        </w:rPr>
      </w:pPr>
      <w:r w:rsidRPr="009F7FCE">
        <w:rPr>
          <w:rFonts w:cs="Times"/>
          <w:szCs w:val="20"/>
          <w:lang w:val="en-US"/>
        </w:rPr>
        <w:t xml:space="preserve">to be indicated as DL </w:t>
      </w:r>
      <w:r w:rsidR="007360C0" w:rsidRPr="009F7FCE">
        <w:rPr>
          <w:rFonts w:cs="Times"/>
          <w:szCs w:val="20"/>
          <w:lang w:val="en-US"/>
        </w:rPr>
        <w:t>on</w:t>
      </w:r>
      <w:r w:rsidRPr="009F7FCE">
        <w:rPr>
          <w:rFonts w:cs="Times"/>
          <w:szCs w:val="20"/>
          <w:lang w:val="en-US"/>
        </w:rPr>
        <w:t xml:space="preserve"> symbols indicated for PRACH transmission;</w:t>
      </w:r>
    </w:p>
    <w:p w14:paraId="5741A456" w14:textId="2573916C" w:rsidR="00453FCD" w:rsidRPr="009F7FCE" w:rsidRDefault="00453FCD" w:rsidP="00B15362">
      <w:pPr>
        <w:pStyle w:val="ListParagraph"/>
        <w:numPr>
          <w:ilvl w:val="0"/>
          <w:numId w:val="32"/>
        </w:numPr>
        <w:contextualSpacing/>
        <w:jc w:val="both"/>
        <w:rPr>
          <w:rFonts w:cs="Times"/>
          <w:szCs w:val="20"/>
          <w:lang w:val="en-US"/>
        </w:rPr>
      </w:pPr>
      <w:r w:rsidRPr="009F7FCE">
        <w:rPr>
          <w:rFonts w:cs="Times"/>
          <w:szCs w:val="20"/>
          <w:lang w:val="en-US"/>
        </w:rPr>
        <w:t xml:space="preserve">to be indicated as UL </w:t>
      </w:r>
      <w:r w:rsidR="007360C0" w:rsidRPr="009F7FCE">
        <w:rPr>
          <w:rFonts w:cs="Times"/>
          <w:szCs w:val="20"/>
          <w:lang w:val="en-US"/>
        </w:rPr>
        <w:t>on</w:t>
      </w:r>
      <w:r w:rsidRPr="009F7FCE">
        <w:rPr>
          <w:rFonts w:cs="Times"/>
          <w:szCs w:val="20"/>
          <w:lang w:val="en-US"/>
        </w:rPr>
        <w:t xml:space="preserve"> symbols indicated for CORESET for Type0-PDCCH CSS set.</w:t>
      </w:r>
    </w:p>
    <w:p w14:paraId="0C4A6996" w14:textId="6B9AE4DA" w:rsidR="00453FCD" w:rsidRPr="009F7FCE" w:rsidRDefault="00453FCD" w:rsidP="00B15362">
      <w:pPr>
        <w:jc w:val="both"/>
        <w:rPr>
          <w:rFonts w:cs="Times"/>
          <w:szCs w:val="20"/>
        </w:rPr>
      </w:pPr>
      <w:r w:rsidRPr="009F7FCE">
        <w:rPr>
          <w:rFonts w:cs="Times"/>
          <w:szCs w:val="20"/>
        </w:rPr>
        <w:t>The same rule can be applied to IAB-MT</w:t>
      </w:r>
      <w:r w:rsidR="008F5623" w:rsidRPr="009F7FCE">
        <w:rPr>
          <w:rFonts w:cs="Times"/>
          <w:szCs w:val="20"/>
        </w:rPr>
        <w:t>s</w:t>
      </w:r>
      <w:r w:rsidRPr="009F7FCE">
        <w:rPr>
          <w:rFonts w:cs="Times"/>
          <w:szCs w:val="20"/>
        </w:rPr>
        <w:t xml:space="preserve"> in connected mode. Rel-16 has specified means to enable the IAB-node and parent node to configure non-overlapping occasions for SSB and PRACH which are specifically used </w:t>
      </w:r>
      <w:r w:rsidRPr="009F7FCE">
        <w:rPr>
          <w:rFonts w:cs="Times"/>
          <w:szCs w:val="20"/>
        </w:rPr>
        <w:lastRenderedPageBreak/>
        <w:t>by IAB-nodes. It has been agreed in RAN1#98bis that for inter-IAB</w:t>
      </w:r>
      <w:r w:rsidR="007360C0" w:rsidRPr="009F7FCE">
        <w:rPr>
          <w:rFonts w:cs="Times"/>
          <w:szCs w:val="20"/>
        </w:rPr>
        <w:t>-</w:t>
      </w:r>
      <w:r w:rsidRPr="009F7FCE">
        <w:rPr>
          <w:rFonts w:cs="Times"/>
          <w:szCs w:val="20"/>
        </w:rPr>
        <w:t xml:space="preserve">node discovery and measurement, the IAB-node does not expect STC and SMTC are overlapped in time. It has also been agreed in RAN1#96bis to use a time offset in subframe or slot to enable non-overlapping backhaul RACH occasions. So, it is possible for IAB-donor-CU to configure proper transmission </w:t>
      </w:r>
      <w:r w:rsidR="007360C0" w:rsidRPr="009F7FCE">
        <w:rPr>
          <w:rFonts w:cs="Times"/>
          <w:szCs w:val="20"/>
        </w:rPr>
        <w:t>options</w:t>
      </w:r>
      <w:r w:rsidRPr="009F7FCE">
        <w:rPr>
          <w:rFonts w:cs="Times"/>
          <w:szCs w:val="20"/>
        </w:rPr>
        <w:t xml:space="preserve"> to IAB-MT for SSB and PRACH, meanwhile, to enable simultaneous transmission or reception at the IAB-node. </w:t>
      </w:r>
    </w:p>
    <w:p w14:paraId="1DC15A03" w14:textId="1EAEF88D" w:rsidR="00453FCD" w:rsidRPr="009F7FCE" w:rsidRDefault="00453FCD" w:rsidP="00B15362">
      <w:pPr>
        <w:jc w:val="both"/>
        <w:rPr>
          <w:rFonts w:cs="Times"/>
          <w:szCs w:val="20"/>
        </w:rPr>
      </w:pPr>
      <w:r w:rsidRPr="009F7FCE">
        <w:rPr>
          <w:rFonts w:cs="Times"/>
          <w:szCs w:val="20"/>
        </w:rPr>
        <w:t>Alternatively, the IAB-MT may:</w:t>
      </w:r>
    </w:p>
    <w:p w14:paraId="1DA6F99D" w14:textId="13494EA7" w:rsidR="00453FCD" w:rsidRPr="009F7FCE" w:rsidRDefault="00453FCD" w:rsidP="00B15362">
      <w:pPr>
        <w:pStyle w:val="ListParagraph"/>
        <w:numPr>
          <w:ilvl w:val="0"/>
          <w:numId w:val="34"/>
        </w:numPr>
        <w:contextualSpacing/>
        <w:jc w:val="both"/>
        <w:rPr>
          <w:rFonts w:cs="Times"/>
          <w:szCs w:val="20"/>
          <w:lang w:val="en-US"/>
        </w:rPr>
      </w:pPr>
      <w:r w:rsidRPr="009F7FCE">
        <w:rPr>
          <w:rFonts w:cs="Times"/>
          <w:szCs w:val="20"/>
          <w:lang w:val="en-US"/>
        </w:rPr>
        <w:t>skip receiving SSB if the associated symbols are indicated as UL;</w:t>
      </w:r>
    </w:p>
    <w:p w14:paraId="29C2AB51" w14:textId="77777777" w:rsidR="00453FCD" w:rsidRPr="009F7FCE" w:rsidRDefault="00453FCD" w:rsidP="00B15362">
      <w:pPr>
        <w:pStyle w:val="ListParagraph"/>
        <w:numPr>
          <w:ilvl w:val="0"/>
          <w:numId w:val="34"/>
        </w:numPr>
        <w:contextualSpacing/>
        <w:jc w:val="both"/>
        <w:rPr>
          <w:rFonts w:cs="Times"/>
          <w:szCs w:val="20"/>
          <w:lang w:val="en-US"/>
        </w:rPr>
      </w:pPr>
      <w:r w:rsidRPr="009F7FCE">
        <w:rPr>
          <w:rFonts w:cs="Times"/>
          <w:szCs w:val="20"/>
          <w:lang w:val="en-US"/>
        </w:rPr>
        <w:t>skip transmitting PRACH if the associated symbols are indicated as DL;</w:t>
      </w:r>
    </w:p>
    <w:p w14:paraId="2C330D81" w14:textId="6ED78AC8" w:rsidR="00453FCD" w:rsidRPr="009F7FCE" w:rsidRDefault="00453FCD" w:rsidP="00B15362">
      <w:pPr>
        <w:pStyle w:val="ListParagraph"/>
        <w:numPr>
          <w:ilvl w:val="0"/>
          <w:numId w:val="34"/>
        </w:numPr>
        <w:contextualSpacing/>
        <w:jc w:val="both"/>
        <w:rPr>
          <w:rFonts w:cs="Times"/>
          <w:szCs w:val="20"/>
          <w:lang w:val="en-US"/>
        </w:rPr>
      </w:pPr>
      <w:r w:rsidRPr="009F7FCE">
        <w:rPr>
          <w:rFonts w:cs="Times"/>
          <w:szCs w:val="20"/>
          <w:lang w:val="en-US"/>
        </w:rPr>
        <w:t>skip receiving SIB if the associated symbols are indicated as UL.</w:t>
      </w:r>
    </w:p>
    <w:p w14:paraId="081F6397" w14:textId="48BEA6B1" w:rsidR="007360C0" w:rsidRPr="009F7FCE" w:rsidRDefault="00453FCD" w:rsidP="00B15362">
      <w:pPr>
        <w:jc w:val="both"/>
        <w:rPr>
          <w:rFonts w:cs="Times"/>
          <w:szCs w:val="20"/>
        </w:rPr>
      </w:pPr>
      <w:r w:rsidRPr="009F7FCE">
        <w:rPr>
          <w:rFonts w:cs="Times"/>
          <w:szCs w:val="20"/>
        </w:rPr>
        <w:t>Considering the backhaul link is typically static</w:t>
      </w:r>
      <w:r w:rsidR="00253FD6" w:rsidRPr="009F7FCE">
        <w:rPr>
          <w:rFonts w:cs="Times"/>
          <w:szCs w:val="20"/>
        </w:rPr>
        <w:t xml:space="preserve"> and </w:t>
      </w:r>
      <w:r w:rsidR="00F81932" w:rsidRPr="009F7FCE">
        <w:rPr>
          <w:rFonts w:cs="Times"/>
          <w:szCs w:val="20"/>
        </w:rPr>
        <w:t>has good link quality</w:t>
      </w:r>
      <w:r w:rsidRPr="009F7FCE">
        <w:rPr>
          <w:rFonts w:cs="Times"/>
          <w:szCs w:val="20"/>
        </w:rPr>
        <w:t>, the impact extent of not having SSB, PRACH or SIB under certain occasions may not be as critical as for the UEs.</w:t>
      </w:r>
    </w:p>
    <w:p w14:paraId="1DA75EA0" w14:textId="4614D866" w:rsidR="007360C0" w:rsidRPr="009F7FCE" w:rsidRDefault="00453FCD" w:rsidP="00624283">
      <w:pPr>
        <w:pStyle w:val="Proposal"/>
        <w:jc w:val="both"/>
      </w:pPr>
      <w:bookmarkStart w:id="183" w:name="_Toc54382828"/>
      <w:r w:rsidRPr="009F7FCE">
        <w:t xml:space="preserve">It is FFS of </w:t>
      </w:r>
      <w:r w:rsidR="002F224F" w:rsidRPr="009F7FCE">
        <w:t>how to specify</w:t>
      </w:r>
      <w:r w:rsidRPr="009F7FCE">
        <w:t xml:space="preserve"> IAB-MT’s behavior if symbols 1) for SSB reception</w:t>
      </w:r>
      <w:r w:rsidR="007360C0" w:rsidRPr="009F7FCE">
        <w:t xml:space="preserve"> are </w:t>
      </w:r>
      <w:r w:rsidR="000E399C" w:rsidRPr="009F7FCE">
        <w:t>configured</w:t>
      </w:r>
      <w:r w:rsidR="007360C0" w:rsidRPr="009F7FCE">
        <w:t xml:space="preserve"> as UL</w:t>
      </w:r>
      <w:r w:rsidRPr="009F7FCE">
        <w:t>; 2) for PRACH transmission</w:t>
      </w:r>
      <w:r w:rsidR="007360C0" w:rsidRPr="009F7FCE">
        <w:t xml:space="preserve"> are </w:t>
      </w:r>
      <w:r w:rsidR="000E399C" w:rsidRPr="009F7FCE">
        <w:t xml:space="preserve">configured </w:t>
      </w:r>
      <w:r w:rsidR="007360C0" w:rsidRPr="009F7FCE">
        <w:t>as DL</w:t>
      </w:r>
      <w:r w:rsidRPr="009F7FCE">
        <w:t>; 3) for CORESET for Type0-PDCCH CSS set</w:t>
      </w:r>
      <w:r w:rsidR="000E399C" w:rsidRPr="009F7FCE">
        <w:t xml:space="preserve"> reception are configured as UL</w:t>
      </w:r>
      <w:r w:rsidRPr="009F7FCE">
        <w:t>.</w:t>
      </w:r>
      <w:bookmarkEnd w:id="183"/>
    </w:p>
    <w:p w14:paraId="2EDDDD5C" w14:textId="269E5F3E" w:rsidR="00B87A6B" w:rsidRPr="009F7FCE" w:rsidRDefault="00222E33" w:rsidP="00B15362">
      <w:pPr>
        <w:pStyle w:val="Heading2"/>
        <w:jc w:val="both"/>
        <w:rPr>
          <w:lang w:val="en-US"/>
        </w:rPr>
      </w:pPr>
      <w:r w:rsidRPr="009F7FCE">
        <w:rPr>
          <w:lang w:val="en-US"/>
        </w:rPr>
        <w:t>Indication of multiplexing capability</w:t>
      </w:r>
    </w:p>
    <w:p w14:paraId="1625B4F4" w14:textId="5C28D4E9" w:rsidR="00453FCD" w:rsidRPr="009F7FCE" w:rsidRDefault="00453FCD" w:rsidP="00B15362">
      <w:pPr>
        <w:jc w:val="both"/>
        <w:rPr>
          <w:rStyle w:val="IvDbodytextChar"/>
          <w:rFonts w:asciiTheme="minorHAnsi" w:hAnsiTheme="minorHAnsi" w:cstheme="minorHAnsi"/>
        </w:rPr>
      </w:pPr>
      <w:r w:rsidRPr="009F7FCE">
        <w:rPr>
          <w:rFonts w:cstheme="minorHAnsi"/>
        </w:rPr>
        <w:t xml:space="preserve">The semi-static configuration of H/S/NA is based on multiplexing capability of the IAB-node as </w:t>
      </w:r>
      <w:r w:rsidR="009F7FCE" w:rsidRPr="009F7FCE">
        <w:rPr>
          <w:rFonts w:cstheme="minorHAnsi"/>
        </w:rPr>
        <w:t>analyzed</w:t>
      </w:r>
      <w:r w:rsidRPr="009F7FCE">
        <w:rPr>
          <w:rFonts w:cstheme="minorHAnsi"/>
        </w:rPr>
        <w:t xml:space="preserve"> in Section</w:t>
      </w:r>
      <w:r w:rsidR="002165B8" w:rsidRPr="009F7FCE">
        <w:rPr>
          <w:rFonts w:cstheme="minorHAnsi"/>
        </w:rPr>
        <w:t xml:space="preserve"> </w:t>
      </w:r>
      <w:r w:rsidR="002165B8" w:rsidRPr="009F7FCE">
        <w:fldChar w:fldCharType="begin"/>
      </w:r>
      <w:r w:rsidR="002165B8" w:rsidRPr="009F7FCE">
        <w:instrText xml:space="preserve"> REF _Ref54192101 \r \h </w:instrText>
      </w:r>
      <w:r w:rsidR="00FF3614" w:rsidRPr="009F7FCE">
        <w:instrText xml:space="preserve"> \* MERGEFORMAT </w:instrText>
      </w:r>
      <w:r w:rsidR="002165B8" w:rsidRPr="009F7FCE">
        <w:fldChar w:fldCharType="separate"/>
      </w:r>
      <w:r w:rsidR="005709C0">
        <w:t>3.1</w:t>
      </w:r>
      <w:r w:rsidR="002165B8" w:rsidRPr="009F7FCE">
        <w:fldChar w:fldCharType="end"/>
      </w:r>
      <w:r w:rsidRPr="009F7FCE">
        <w:t>.</w:t>
      </w:r>
      <w:r w:rsidRPr="009F7FCE">
        <w:rPr>
          <w:rFonts w:cstheme="minorHAnsi"/>
        </w:rPr>
        <w:t xml:space="preserve"> </w:t>
      </w:r>
      <w:r w:rsidRPr="009F7FCE">
        <w:rPr>
          <w:rStyle w:val="IvDbodytextChar"/>
          <w:rFonts w:asciiTheme="minorHAnsi" w:hAnsiTheme="minorHAnsi" w:cstheme="minorHAnsi"/>
        </w:rPr>
        <w:t>The parent node can also be provided with the multiplexing capability information</w:t>
      </w:r>
      <w:r w:rsidR="005A2B4A" w:rsidRPr="009F7FCE">
        <w:rPr>
          <w:rStyle w:val="IvDbodytextChar"/>
          <w:rFonts w:asciiTheme="minorHAnsi" w:hAnsiTheme="minorHAnsi" w:cstheme="minorHAnsi"/>
        </w:rPr>
        <w:t>, which has been indicated to IAB-donor-CU,</w:t>
      </w:r>
      <w:r w:rsidRPr="009F7FCE">
        <w:rPr>
          <w:rStyle w:val="IvDbodytextChar"/>
          <w:rFonts w:asciiTheme="minorHAnsi" w:hAnsiTheme="minorHAnsi" w:cstheme="minorHAnsi"/>
        </w:rPr>
        <w:t xml:space="preserve"> so that </w:t>
      </w:r>
      <w:r w:rsidR="004B3E8F" w:rsidRPr="009F7FCE">
        <w:rPr>
          <w:rStyle w:val="IvDbodytextChar"/>
          <w:rFonts w:asciiTheme="minorHAnsi" w:hAnsiTheme="minorHAnsi" w:cstheme="minorHAnsi"/>
        </w:rPr>
        <w:t>the parent node</w:t>
      </w:r>
      <w:r w:rsidRPr="009F7FCE">
        <w:rPr>
          <w:rStyle w:val="IvDbodytextChar"/>
          <w:rFonts w:asciiTheme="minorHAnsi" w:hAnsiTheme="minorHAnsi" w:cstheme="minorHAnsi"/>
        </w:rPr>
        <w:t xml:space="preserve"> can make a better assumption of the resource usage at the IAB-node and </w:t>
      </w:r>
      <w:r w:rsidR="005D033D" w:rsidRPr="009F7FCE">
        <w:rPr>
          <w:rStyle w:val="IvDbodytextChar"/>
          <w:rFonts w:asciiTheme="minorHAnsi" w:hAnsiTheme="minorHAnsi" w:cstheme="minorHAnsi"/>
        </w:rPr>
        <w:t>accordingly</w:t>
      </w:r>
      <w:r w:rsidRPr="009F7FCE">
        <w:rPr>
          <w:rStyle w:val="IvDbodytextChar"/>
          <w:rFonts w:asciiTheme="minorHAnsi" w:hAnsiTheme="minorHAnsi" w:cstheme="minorHAnsi"/>
        </w:rPr>
        <w:t xml:space="preserve"> the resource availability on the </w:t>
      </w:r>
      <w:r w:rsidR="009132E4" w:rsidRPr="009F7FCE">
        <w:rPr>
          <w:rStyle w:val="IvDbodytextChar"/>
          <w:rFonts w:asciiTheme="minorHAnsi" w:hAnsiTheme="minorHAnsi" w:cstheme="minorHAnsi"/>
        </w:rPr>
        <w:t xml:space="preserve">IAB-node’s </w:t>
      </w:r>
      <w:r w:rsidRPr="009F7FCE">
        <w:rPr>
          <w:rStyle w:val="IvDbodytextChar"/>
          <w:rFonts w:asciiTheme="minorHAnsi" w:hAnsiTheme="minorHAnsi" w:cstheme="minorHAnsi"/>
        </w:rPr>
        <w:t>parent backhaul link. However, the multiplexing capability of the IAB-node may change due to local circumstances, such as channel changes, fulfilment of simultaneous operation criteria, etc., in a dynamic way. Loss of track on such change may lead to inappropriate scheduling decision at the parent node, which will cause resource wastage or situations of additional interference to the IAB-node.</w:t>
      </w:r>
    </w:p>
    <w:p w14:paraId="3EDBFCC6" w14:textId="6E53EE04" w:rsidR="009132E4" w:rsidRPr="009F7FCE" w:rsidRDefault="00453FCD" w:rsidP="00B15362">
      <w:pPr>
        <w:jc w:val="both"/>
        <w:rPr>
          <w:rStyle w:val="IvDbodytextChar"/>
          <w:rFonts w:asciiTheme="minorHAnsi" w:hAnsiTheme="minorHAnsi" w:cstheme="minorHAnsi"/>
        </w:rPr>
      </w:pPr>
      <w:r w:rsidRPr="009F7FCE">
        <w:rPr>
          <w:rStyle w:val="IvDbodytextChar"/>
          <w:rFonts w:asciiTheme="minorHAnsi" w:hAnsiTheme="minorHAnsi" w:cstheme="minorHAnsi"/>
        </w:rPr>
        <w:t>For example, based on given hardware capability and channel conditions, the IAB-MT and IAB-DU can conduct simultaneous transmission and/or reception. The IAB-node thereby indicates TDM not required to the IAB-donor-CU, which will configure IAB-MT and IAB-DU resources accordingly to allow for the desired simultaneous operation. However, the required Case #6 and Case #7 timing operation cannot always be fulfilled by the parent node(s) and/or child node(s) under certain circumstances. In this case, the IAB-MT and IAB-DU can be limited to operate in a TDM manner. Without knowing that, the parent node may still schedule transmission from/to the IAB-MT which cannot be carried out by the IAB-node due to the operation at the IAB-DU using overlapping time and/or frequency resource. Therefore, it is beneficial to inform the parent node about the multiplexing-capability changes at the IAB-node.</w:t>
      </w:r>
    </w:p>
    <w:p w14:paraId="78AA60D6" w14:textId="1E61B142" w:rsidR="003B53BE" w:rsidRPr="009F7FCE" w:rsidRDefault="009132E4" w:rsidP="00B15362">
      <w:pPr>
        <w:pStyle w:val="Proposal"/>
        <w:jc w:val="both"/>
        <w:rPr>
          <w:lang w:eastAsia="ja-JP"/>
        </w:rPr>
      </w:pPr>
      <w:bookmarkStart w:id="184" w:name="_Toc54382829"/>
      <w:r w:rsidRPr="009F7FCE">
        <w:t>The p</w:t>
      </w:r>
      <w:r w:rsidR="00453FCD" w:rsidRPr="009F7FCE">
        <w:t xml:space="preserve">arent node is </w:t>
      </w:r>
      <w:r w:rsidRPr="009F7FCE">
        <w:t xml:space="preserve">dynamically </w:t>
      </w:r>
      <w:r w:rsidR="00453FCD" w:rsidRPr="009F7FCE">
        <w:t xml:space="preserve">provided with </w:t>
      </w:r>
      <w:r w:rsidRPr="009F7FCE">
        <w:t>changes of the IAB-node’s</w:t>
      </w:r>
      <w:r w:rsidR="00453FCD" w:rsidRPr="009F7FCE">
        <w:t xml:space="preserve"> multiplexing-capability.</w:t>
      </w:r>
      <w:bookmarkEnd w:id="184"/>
    </w:p>
    <w:p w14:paraId="2D092BEE" w14:textId="30EDD793" w:rsidR="003B53BE" w:rsidRPr="009F7FCE" w:rsidRDefault="003B53BE" w:rsidP="00B15362">
      <w:pPr>
        <w:pStyle w:val="Heading1"/>
        <w:jc w:val="both"/>
        <w:rPr>
          <w:lang w:val="en-US"/>
        </w:rPr>
      </w:pPr>
      <w:r w:rsidRPr="009F7FCE">
        <w:rPr>
          <w:lang w:val="en-US"/>
        </w:rPr>
        <w:t>Dual connectivity</w:t>
      </w:r>
    </w:p>
    <w:p w14:paraId="06AC4347" w14:textId="3158233D" w:rsidR="008C65AD" w:rsidRPr="009F7FCE" w:rsidRDefault="008C65AD" w:rsidP="00624283">
      <w:pPr>
        <w:jc w:val="both"/>
      </w:pPr>
      <w:r w:rsidRPr="009F7FCE">
        <w:t xml:space="preserve">According to the IAB TR 38.874 </w:t>
      </w:r>
      <w:r w:rsidRPr="009F7FCE">
        <w:fldChar w:fldCharType="begin"/>
      </w:r>
      <w:r w:rsidRPr="009F7FCE">
        <w:instrText xml:space="preserve"> REF _Ref45782918 \r \h  \* MERGEFORMAT </w:instrText>
      </w:r>
      <w:r w:rsidRPr="009F7FCE">
        <w:fldChar w:fldCharType="separate"/>
      </w:r>
      <w:r w:rsidR="005709C0">
        <w:t>[4]</w:t>
      </w:r>
      <w:r w:rsidRPr="009F7FCE">
        <w:fldChar w:fldCharType="end"/>
      </w:r>
      <w:r w:rsidRPr="009F7FCE">
        <w:t xml:space="preserve">, when operating in SA-mode, an NR+NR dual connected IAB-node can add redundant routes by establishing an MCG-link to one parent node IAB-DU and an SCG-link to another parent node IAB-DU. The dual-connecting IAB-MT will enable the SCG link using the Rel-15 NR-DC procedures </w:t>
      </w:r>
      <w:r w:rsidRPr="009F7FCE">
        <w:fldChar w:fldCharType="begin"/>
      </w:r>
      <w:r w:rsidRPr="009F7FCE">
        <w:instrText xml:space="preserve"> REF _Ref46151739 \r \h  \* MERGEFORMAT </w:instrText>
      </w:r>
      <w:r w:rsidRPr="009F7FCE">
        <w:fldChar w:fldCharType="separate"/>
      </w:r>
      <w:r w:rsidR="005709C0">
        <w:t>[8]</w:t>
      </w:r>
      <w:r w:rsidRPr="009F7FCE">
        <w:fldChar w:fldCharType="end"/>
      </w:r>
      <w:r w:rsidRPr="009F7FCE">
        <w:t xml:space="preserve">. As described in TS 37.340 </w:t>
      </w:r>
      <w:r w:rsidRPr="009F7FCE">
        <w:fldChar w:fldCharType="begin"/>
      </w:r>
      <w:r w:rsidRPr="009F7FCE">
        <w:instrText xml:space="preserve"> REF _Ref47686274 \n \h  \* MERGEFORMAT </w:instrText>
      </w:r>
      <w:r w:rsidRPr="009F7FCE">
        <w:fldChar w:fldCharType="separate"/>
      </w:r>
      <w:r w:rsidR="005709C0">
        <w:t>[9]</w:t>
      </w:r>
      <w:r w:rsidRPr="009F7FCE">
        <w:fldChar w:fldCharType="end"/>
      </w:r>
      <w:r w:rsidRPr="009F7FCE">
        <w:t>, NR</w:t>
      </w:r>
      <w:r w:rsidR="00AB78A4" w:rsidRPr="009F7FCE">
        <w:t>+</w:t>
      </w:r>
      <w:r w:rsidRPr="009F7FCE">
        <w:t xml:space="preserve">NR dual connectivity is a Multi-Radio Dual Connectivity (MR-DC) configuration with the 5GC. In MR-DC, two or more Component Carriers (CCs) may be aggregated over two cell groups. This is a typical Inter-Carrier NR-DC framework where the MCG-link and the SCG-link are using independent </w:t>
      </w:r>
      <w:r w:rsidRPr="009F7FCE">
        <w:lastRenderedPageBreak/>
        <w:t xml:space="preserve">carriers for which a coordination of time and frequency resource is not required, see top example in </w:t>
      </w:r>
      <w:r w:rsidRPr="009F7FCE">
        <w:fldChar w:fldCharType="begin"/>
      </w:r>
      <w:r w:rsidRPr="009F7FCE">
        <w:instrText xml:space="preserve"> REF _Ref45568592 \h  \* MERGEFORMAT </w:instrText>
      </w:r>
      <w:r w:rsidRPr="009F7FCE">
        <w:fldChar w:fldCharType="separate"/>
      </w:r>
      <w:r w:rsidR="005709C0" w:rsidRPr="009F7FCE">
        <w:t xml:space="preserve">Figure </w:t>
      </w:r>
      <w:r w:rsidR="005709C0">
        <w:t>2</w:t>
      </w:r>
      <w:r w:rsidRPr="009F7FCE">
        <w:fldChar w:fldCharType="end"/>
      </w:r>
      <w:r w:rsidRPr="009F7FCE">
        <w:t>.</w:t>
      </w:r>
    </w:p>
    <w:p w14:paraId="199DBD8F" w14:textId="77777777" w:rsidR="008C65AD" w:rsidRPr="009F7FCE" w:rsidRDefault="008C65AD" w:rsidP="00B15362">
      <w:pPr>
        <w:pStyle w:val="Observation"/>
        <w:jc w:val="both"/>
      </w:pPr>
      <w:bookmarkStart w:id="185" w:name="_Hlk45698643"/>
      <w:r w:rsidRPr="009F7FCE">
        <w:tab/>
      </w:r>
      <w:bookmarkStart w:id="186" w:name="_Toc45698714"/>
      <w:bookmarkStart w:id="187" w:name="_Toc45784682"/>
      <w:bookmarkStart w:id="188" w:name="_Toc45785256"/>
      <w:bookmarkStart w:id="189" w:name="_Toc45786032"/>
      <w:bookmarkStart w:id="190" w:name="_Toc46151860"/>
      <w:bookmarkStart w:id="191" w:name="_Toc46734755"/>
      <w:bookmarkStart w:id="192" w:name="_Toc47527058"/>
      <w:bookmarkStart w:id="193" w:name="_Toc47686288"/>
      <w:bookmarkStart w:id="194" w:name="_Toc47690386"/>
      <w:bookmarkStart w:id="195" w:name="_Toc47691756"/>
      <w:bookmarkStart w:id="196" w:name="_Toc47692218"/>
      <w:bookmarkStart w:id="197" w:name="_Toc47692311"/>
      <w:bookmarkStart w:id="198" w:name="_Toc47693427"/>
      <w:bookmarkStart w:id="199" w:name="_Toc47702390"/>
      <w:bookmarkStart w:id="200" w:name="_Toc47702953"/>
      <w:bookmarkStart w:id="201" w:name="_Toc47708269"/>
      <w:bookmarkStart w:id="202" w:name="_Toc47714237"/>
      <w:bookmarkStart w:id="203" w:name="_Toc47733726"/>
      <w:bookmarkStart w:id="204" w:name="_Toc47734080"/>
      <w:bookmarkStart w:id="205" w:name="_Toc52826138"/>
      <w:bookmarkStart w:id="206" w:name="_Toc53492300"/>
      <w:bookmarkStart w:id="207" w:name="_Toc54189363"/>
      <w:bookmarkStart w:id="208" w:name="_Toc54205948"/>
      <w:bookmarkStart w:id="209" w:name="_Toc54382813"/>
      <w:r w:rsidRPr="009F7FCE">
        <w:t>IAB Inter-Carrier NR-DC is already supported with Rel-16 specification. For independent carriers, resource coordination is not needed.</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537DC45B" w14:textId="77777777" w:rsidR="008C65AD" w:rsidRPr="009F7FCE" w:rsidRDefault="008C65AD" w:rsidP="00624283">
      <w:pPr>
        <w:pStyle w:val="Observation"/>
        <w:numPr>
          <w:ilvl w:val="0"/>
          <w:numId w:val="0"/>
        </w:numPr>
        <w:jc w:val="both"/>
      </w:pPr>
    </w:p>
    <w:p w14:paraId="1AE2B3BF" w14:textId="77777777" w:rsidR="008C65AD" w:rsidRPr="009F7FCE" w:rsidRDefault="008C65AD" w:rsidP="00931A92">
      <w:pPr>
        <w:keepNext/>
        <w:jc w:val="center"/>
      </w:pPr>
      <w:r w:rsidRPr="009F7FCE">
        <w:rPr>
          <w:noProof/>
        </w:rPr>
        <w:drawing>
          <wp:inline distT="0" distB="0" distL="0" distR="0" wp14:anchorId="3A4C19E6" wp14:editId="148A517E">
            <wp:extent cx="4195005" cy="4933950"/>
            <wp:effectExtent l="0" t="0" r="0" b="0"/>
            <wp:docPr id="3" name="Picture 3" descr="A picture containing cloudy, dark, clock, me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ual_case2.png"/>
                    <pic:cNvPicPr/>
                  </pic:nvPicPr>
                  <pic:blipFill>
                    <a:blip r:embed="rId13">
                      <a:extLst>
                        <a:ext uri="{28A0092B-C50C-407E-A947-70E740481C1C}">
                          <a14:useLocalDpi xmlns:a14="http://schemas.microsoft.com/office/drawing/2010/main" val="0"/>
                        </a:ext>
                      </a:extLst>
                    </a:blip>
                    <a:stretch>
                      <a:fillRect/>
                    </a:stretch>
                  </pic:blipFill>
                  <pic:spPr>
                    <a:xfrm>
                      <a:off x="0" y="0"/>
                      <a:ext cx="4197173" cy="4936500"/>
                    </a:xfrm>
                    <a:prstGeom prst="rect">
                      <a:avLst/>
                    </a:prstGeom>
                  </pic:spPr>
                </pic:pic>
              </a:graphicData>
            </a:graphic>
          </wp:inline>
        </w:drawing>
      </w:r>
    </w:p>
    <w:p w14:paraId="06167451" w14:textId="59B28C88" w:rsidR="008C65AD" w:rsidRPr="009F7FCE" w:rsidRDefault="008C65AD" w:rsidP="00B15362">
      <w:pPr>
        <w:pStyle w:val="Caption"/>
        <w:jc w:val="both"/>
      </w:pPr>
      <w:bookmarkStart w:id="210" w:name="_Ref45568592"/>
      <w:bookmarkStart w:id="211" w:name="_Ref45568585"/>
      <w:r w:rsidRPr="009F7FCE">
        <w:t xml:space="preserve">Figure </w:t>
      </w:r>
      <w:r w:rsidRPr="009F7FCE">
        <w:fldChar w:fldCharType="begin"/>
      </w:r>
      <w:r w:rsidRPr="009F7FCE">
        <w:instrText xml:space="preserve"> SEQ Figure \* ARABIC </w:instrText>
      </w:r>
      <w:r w:rsidRPr="009F7FCE">
        <w:fldChar w:fldCharType="separate"/>
      </w:r>
      <w:r w:rsidR="005709C0">
        <w:rPr>
          <w:noProof/>
        </w:rPr>
        <w:t>2</w:t>
      </w:r>
      <w:r w:rsidRPr="009F7FCE">
        <w:rPr>
          <w:noProof/>
        </w:rPr>
        <w:fldChar w:fldCharType="end"/>
      </w:r>
      <w:bookmarkEnd w:id="210"/>
      <w:r w:rsidRPr="009F7FCE">
        <w:t>: Inter-Carrier DC (with one parent using carrier F1 and the other parent using carrier F2) vs. Intra-Carrier DC (with both parents using carrier F1).</w:t>
      </w:r>
      <w:bookmarkEnd w:id="211"/>
    </w:p>
    <w:bookmarkEnd w:id="185"/>
    <w:p w14:paraId="2678F74F" w14:textId="77777777" w:rsidR="008C65AD" w:rsidRPr="009F7FCE" w:rsidRDefault="008C65AD" w:rsidP="00B15362">
      <w:pPr>
        <w:pStyle w:val="Proposal"/>
        <w:numPr>
          <w:ilvl w:val="0"/>
          <w:numId w:val="0"/>
        </w:numPr>
        <w:jc w:val="both"/>
      </w:pPr>
    </w:p>
    <w:p w14:paraId="64333C7E" w14:textId="622207A0" w:rsidR="008C65AD" w:rsidRPr="009F7FCE" w:rsidRDefault="008C65AD" w:rsidP="00B15362">
      <w:pPr>
        <w:jc w:val="both"/>
      </w:pPr>
      <w:r w:rsidRPr="009F7FCE">
        <w:t xml:space="preserve">To improve </w:t>
      </w:r>
      <w:r w:rsidR="00076E97" w:rsidRPr="009F7FCE">
        <w:t>robustness and load balancing</w:t>
      </w:r>
      <w:r w:rsidRPr="009F7FCE">
        <w:t xml:space="preserve">, it can be envisioned that the MCG-link and the SCG-link from the two parent IAB-DUs share the same carrier frequency, referred to as Intra-Carrier NR-DC operation, see bottom example in </w:t>
      </w:r>
      <w:r w:rsidRPr="009F7FCE">
        <w:fldChar w:fldCharType="begin"/>
      </w:r>
      <w:r w:rsidRPr="009F7FCE">
        <w:instrText xml:space="preserve"> REF _Ref45568592 \h  \* MERGEFORMAT </w:instrText>
      </w:r>
      <w:r w:rsidRPr="009F7FCE">
        <w:fldChar w:fldCharType="separate"/>
      </w:r>
      <w:r w:rsidR="005709C0" w:rsidRPr="009F7FCE">
        <w:t xml:space="preserve">Figure </w:t>
      </w:r>
      <w:r w:rsidR="005709C0">
        <w:t>2</w:t>
      </w:r>
      <w:r w:rsidRPr="009F7FCE">
        <w:fldChar w:fldCharType="end"/>
      </w:r>
      <w:r w:rsidRPr="009F7FCE">
        <w:t>. In 3GPP TSG RAN Meeting #89e, the following questions on dual-parent nodes and Intra-</w:t>
      </w:r>
      <w:r w:rsidR="007C665F" w:rsidRPr="009F7FCE">
        <w:t>C</w:t>
      </w:r>
      <w:r w:rsidRPr="009F7FCE">
        <w:t xml:space="preserve">arrier DC were discussed. </w:t>
      </w:r>
      <w:r w:rsidR="00240F55" w:rsidRPr="009F7FCE">
        <w:t>There was no outcome from the discussions</w:t>
      </w:r>
      <w:r w:rsidRPr="009F7FCE">
        <w:t xml:space="preserve"> in the meeting</w:t>
      </w:r>
      <w:r w:rsidR="00E42720" w:rsidRPr="009F7FCE">
        <w:t xml:space="preserve"> </w:t>
      </w:r>
      <w:r w:rsidR="00BF49B2" w:rsidRPr="009F7FCE">
        <w:fldChar w:fldCharType="begin"/>
      </w:r>
      <w:r w:rsidR="00BF49B2" w:rsidRPr="009F7FCE">
        <w:instrText xml:space="preserve"> REF _Ref54188592 \r \h </w:instrText>
      </w:r>
      <w:r w:rsidR="00FF3614" w:rsidRPr="009F7FCE">
        <w:instrText xml:space="preserve"> \* MERGEFORMAT </w:instrText>
      </w:r>
      <w:r w:rsidR="00BF49B2" w:rsidRPr="009F7FCE">
        <w:fldChar w:fldCharType="separate"/>
      </w:r>
      <w:r w:rsidR="005709C0">
        <w:t>[10]</w:t>
      </w:r>
      <w:r w:rsidR="00BF49B2" w:rsidRPr="009F7FCE">
        <w:fldChar w:fldCharType="end"/>
      </w:r>
      <w:r w:rsidRPr="009F7FCE">
        <w:t xml:space="preserve">. </w:t>
      </w:r>
    </w:p>
    <w:p w14:paraId="5186C169" w14:textId="77777777" w:rsidR="00624283" w:rsidRPr="009F7FCE" w:rsidRDefault="00624283" w:rsidP="00B15362">
      <w:pPr>
        <w:jc w:val="both"/>
      </w:pPr>
    </w:p>
    <w:tbl>
      <w:tblPr>
        <w:tblStyle w:val="TableGrid"/>
        <w:tblW w:w="0" w:type="auto"/>
        <w:tblLook w:val="04A0" w:firstRow="1" w:lastRow="0" w:firstColumn="1" w:lastColumn="0" w:noHBand="0" w:noVBand="1"/>
      </w:tblPr>
      <w:tblGrid>
        <w:gridCol w:w="9629"/>
      </w:tblGrid>
      <w:tr w:rsidR="008C65AD" w:rsidRPr="009F7FCE" w14:paraId="21ABAA35" w14:textId="77777777" w:rsidTr="005851CE">
        <w:tc>
          <w:tcPr>
            <w:tcW w:w="9629" w:type="dxa"/>
          </w:tcPr>
          <w:p w14:paraId="1CA49062" w14:textId="77777777" w:rsidR="008C65AD" w:rsidRPr="009F7FCE" w:rsidRDefault="008C65AD" w:rsidP="00B15362">
            <w:pPr>
              <w:pStyle w:val="ListParagraph"/>
              <w:spacing w:before="60" w:after="60"/>
              <w:ind w:left="0"/>
              <w:jc w:val="both"/>
              <w:rPr>
                <w:rFonts w:asciiTheme="minorHAnsi" w:hAnsiTheme="minorHAnsi" w:cstheme="minorHAnsi"/>
                <w:lang w:val="en-US"/>
              </w:rPr>
            </w:pPr>
            <w:r w:rsidRPr="009F7FCE">
              <w:rPr>
                <w:rFonts w:asciiTheme="minorHAnsi" w:hAnsiTheme="minorHAnsi" w:cstheme="minorHAnsi"/>
                <w:b/>
                <w:bCs/>
                <w:lang w:val="en-US"/>
              </w:rPr>
              <w:t>Question 1a:</w:t>
            </w:r>
            <w:r w:rsidRPr="009F7FCE">
              <w:rPr>
                <w:rFonts w:asciiTheme="minorHAnsi" w:hAnsiTheme="minorHAnsi" w:cstheme="minorHAnsi"/>
                <w:lang w:val="en-US"/>
              </w:rPr>
              <w:t xml:space="preserve"> Should enhancements to the resource multiplexing for IAB consider scenarios </w:t>
            </w:r>
            <w:r w:rsidRPr="009F7FCE">
              <w:rPr>
                <w:rFonts w:asciiTheme="minorHAnsi" w:hAnsiTheme="minorHAnsi" w:cstheme="minorHAnsi"/>
                <w:b/>
                <w:bCs/>
                <w:i/>
                <w:iCs/>
                <w:u w:val="single"/>
                <w:lang w:val="en-US"/>
              </w:rPr>
              <w:t>other</w:t>
            </w:r>
            <w:r w:rsidRPr="009F7FCE">
              <w:rPr>
                <w:rFonts w:asciiTheme="minorHAnsi" w:hAnsiTheme="minorHAnsi" w:cstheme="minorHAnsi"/>
                <w:lang w:val="en-US"/>
              </w:rPr>
              <w:t xml:space="preserve"> than dual connectivity, if defined by RAN2/RAN3 in the context of topology redundancy for improved robustness and load balancing? </w:t>
            </w:r>
          </w:p>
          <w:p w14:paraId="7043B493" w14:textId="77777777" w:rsidR="008C65AD" w:rsidRPr="009F7FCE" w:rsidRDefault="008C65AD" w:rsidP="00B15362">
            <w:pPr>
              <w:spacing w:before="120" w:after="120"/>
              <w:jc w:val="both"/>
              <w:rPr>
                <w:rFonts w:ascii="Arial" w:hAnsi="Arial" w:cs="Arial"/>
                <w:b/>
                <w:bCs/>
                <w:color w:val="0070C0"/>
              </w:rPr>
            </w:pPr>
            <w:r w:rsidRPr="009F7FCE">
              <w:rPr>
                <w:rFonts w:ascii="Arial" w:hAnsi="Arial" w:cs="Arial"/>
                <w:b/>
                <w:bCs/>
                <w:color w:val="0070C0"/>
              </w:rPr>
              <w:lastRenderedPageBreak/>
              <w:t>WF: No proposal is made. TSG RAN may revisit the matter at a later stage, e.g., in case RAN2/3 have defined other solutions for dual parenting.</w:t>
            </w:r>
          </w:p>
          <w:p w14:paraId="70735559" w14:textId="77777777" w:rsidR="008C65AD" w:rsidRPr="009F7FCE" w:rsidRDefault="008C65AD" w:rsidP="00B15362">
            <w:pPr>
              <w:pStyle w:val="ListParagraph"/>
              <w:spacing w:before="60" w:after="60"/>
              <w:ind w:left="0"/>
              <w:jc w:val="both"/>
              <w:rPr>
                <w:rFonts w:asciiTheme="minorHAnsi" w:hAnsiTheme="minorHAnsi" w:cstheme="minorHAnsi"/>
                <w:lang w:val="en-US"/>
              </w:rPr>
            </w:pPr>
          </w:p>
          <w:p w14:paraId="139E318B" w14:textId="77777777" w:rsidR="008C65AD" w:rsidRPr="009F7FCE" w:rsidRDefault="008C65AD" w:rsidP="00B15362">
            <w:pPr>
              <w:pStyle w:val="ListParagraph"/>
              <w:spacing w:before="60" w:after="60"/>
              <w:ind w:left="0"/>
              <w:jc w:val="both"/>
              <w:rPr>
                <w:rFonts w:asciiTheme="minorHAnsi" w:hAnsiTheme="minorHAnsi" w:cstheme="minorHAnsi"/>
                <w:lang w:val="en-US"/>
              </w:rPr>
            </w:pPr>
            <w:r w:rsidRPr="009F7FCE">
              <w:rPr>
                <w:rFonts w:asciiTheme="minorHAnsi" w:hAnsiTheme="minorHAnsi" w:cstheme="minorHAnsi"/>
                <w:b/>
                <w:bCs/>
                <w:lang w:val="en-US"/>
              </w:rPr>
              <w:t>Question 2:</w:t>
            </w:r>
            <w:r w:rsidRPr="009F7FCE">
              <w:rPr>
                <w:rFonts w:asciiTheme="minorHAnsi" w:hAnsiTheme="minorHAnsi" w:cstheme="minorHAnsi"/>
                <w:lang w:val="en-US"/>
              </w:rPr>
              <w:t xml:space="preserve"> Should </w:t>
            </w:r>
            <w:r w:rsidRPr="009F7FCE">
              <w:rPr>
                <w:rFonts w:asciiTheme="minorHAnsi" w:hAnsiTheme="minorHAnsi" w:cstheme="minorHAnsi"/>
                <w:b/>
                <w:bCs/>
                <w:u w:val="single"/>
                <w:lang w:val="en-US"/>
              </w:rPr>
              <w:t>intra</w:t>
            </w:r>
            <w:r w:rsidRPr="009F7FCE">
              <w:rPr>
                <w:rFonts w:asciiTheme="minorHAnsi" w:hAnsiTheme="minorHAnsi" w:cstheme="minorHAnsi"/>
                <w:lang w:val="en-US"/>
              </w:rPr>
              <w:t xml:space="preserve">-frequency multiplexing for dual-connectivity (or dual-parent) scenarios be considered in Rel-17 IAB? </w:t>
            </w:r>
          </w:p>
          <w:p w14:paraId="36DF5EDD" w14:textId="77777777" w:rsidR="008C65AD" w:rsidRPr="009F7FCE" w:rsidRDefault="008C65AD" w:rsidP="00B15362">
            <w:pPr>
              <w:pStyle w:val="ListParagraph"/>
              <w:numPr>
                <w:ilvl w:val="0"/>
                <w:numId w:val="26"/>
              </w:numPr>
              <w:spacing w:before="60" w:after="60"/>
              <w:jc w:val="both"/>
              <w:rPr>
                <w:rFonts w:asciiTheme="minorHAnsi" w:hAnsiTheme="minorHAnsi" w:cstheme="minorHAnsi"/>
                <w:lang w:val="en-US"/>
              </w:rPr>
            </w:pPr>
            <w:r w:rsidRPr="009F7FCE">
              <w:rPr>
                <w:rFonts w:asciiTheme="minorHAnsi" w:hAnsiTheme="minorHAnsi" w:cstheme="minorHAnsi"/>
                <w:b/>
                <w:bCs/>
                <w:lang w:val="en-US"/>
              </w:rPr>
              <w:t>Option 1:</w:t>
            </w:r>
            <w:r w:rsidRPr="009F7FCE">
              <w:rPr>
                <w:rFonts w:asciiTheme="minorHAnsi" w:hAnsiTheme="minorHAnsi" w:cstheme="minorHAnsi"/>
                <w:lang w:val="en-US"/>
              </w:rPr>
              <w:t xml:space="preserve"> Not at all</w:t>
            </w:r>
          </w:p>
          <w:p w14:paraId="3247150F" w14:textId="77777777" w:rsidR="008C65AD" w:rsidRPr="009F7FCE" w:rsidRDefault="008C65AD" w:rsidP="00B15362">
            <w:pPr>
              <w:pStyle w:val="ListParagraph"/>
              <w:numPr>
                <w:ilvl w:val="0"/>
                <w:numId w:val="26"/>
              </w:numPr>
              <w:spacing w:before="60" w:after="60"/>
              <w:jc w:val="both"/>
              <w:rPr>
                <w:rFonts w:asciiTheme="minorHAnsi" w:hAnsiTheme="minorHAnsi" w:cstheme="minorHAnsi"/>
                <w:lang w:val="en-US"/>
              </w:rPr>
            </w:pPr>
            <w:r w:rsidRPr="009F7FCE">
              <w:rPr>
                <w:rFonts w:asciiTheme="minorHAnsi" w:hAnsiTheme="minorHAnsi" w:cstheme="minorHAnsi"/>
                <w:b/>
                <w:bCs/>
                <w:lang w:val="en-US"/>
              </w:rPr>
              <w:t>Option 2:</w:t>
            </w:r>
            <w:r w:rsidRPr="009F7FCE">
              <w:rPr>
                <w:rFonts w:asciiTheme="minorHAnsi" w:hAnsiTheme="minorHAnsi" w:cstheme="minorHAnsi"/>
                <w:lang w:val="en-US"/>
              </w:rPr>
              <w:t xml:space="preserve"> With restrictions</w:t>
            </w:r>
          </w:p>
          <w:p w14:paraId="6BFFB2F1" w14:textId="77777777" w:rsidR="008C65AD" w:rsidRPr="009F7FCE" w:rsidRDefault="008C65AD" w:rsidP="00B15362">
            <w:pPr>
              <w:pStyle w:val="ListParagraph"/>
              <w:spacing w:before="60" w:after="60"/>
              <w:ind w:left="576"/>
              <w:jc w:val="both"/>
              <w:rPr>
                <w:rFonts w:asciiTheme="minorHAnsi" w:hAnsiTheme="minorHAnsi" w:cstheme="minorHAnsi"/>
                <w:lang w:val="en-US"/>
              </w:rPr>
            </w:pPr>
            <w:r w:rsidRPr="009F7FCE">
              <w:rPr>
                <w:rFonts w:asciiTheme="minorHAnsi" w:hAnsiTheme="minorHAnsi" w:cstheme="minorHAnsi"/>
                <w:lang w:val="en-US"/>
              </w:rPr>
              <w:t>Restriction a): Only for IAB, not for UEs</w:t>
            </w:r>
          </w:p>
          <w:p w14:paraId="4B80C73A" w14:textId="77777777" w:rsidR="008C65AD" w:rsidRPr="009F7FCE" w:rsidRDefault="008C65AD" w:rsidP="00B15362">
            <w:pPr>
              <w:pStyle w:val="ListParagraph"/>
              <w:spacing w:before="60" w:after="60"/>
              <w:ind w:left="576"/>
              <w:jc w:val="both"/>
              <w:rPr>
                <w:rFonts w:asciiTheme="minorHAnsi" w:hAnsiTheme="minorHAnsi" w:cstheme="minorHAnsi"/>
                <w:lang w:val="en-US"/>
              </w:rPr>
            </w:pPr>
            <w:r w:rsidRPr="009F7FCE">
              <w:rPr>
                <w:rFonts w:asciiTheme="minorHAnsi" w:hAnsiTheme="minorHAnsi" w:cstheme="minorHAnsi"/>
                <w:lang w:val="en-US"/>
              </w:rPr>
              <w:t>Restriction b): Only for intra donor, not for inter-donor</w:t>
            </w:r>
          </w:p>
          <w:p w14:paraId="2667E9B1" w14:textId="77777777" w:rsidR="008C65AD" w:rsidRPr="009F7FCE" w:rsidRDefault="008C65AD" w:rsidP="00B15362">
            <w:pPr>
              <w:pStyle w:val="ListParagraph"/>
              <w:spacing w:before="60" w:after="60"/>
              <w:ind w:left="576"/>
              <w:jc w:val="both"/>
              <w:rPr>
                <w:rFonts w:asciiTheme="minorHAnsi" w:hAnsiTheme="minorHAnsi" w:cstheme="minorHAnsi"/>
                <w:lang w:val="en-US"/>
              </w:rPr>
            </w:pPr>
            <w:r w:rsidRPr="009F7FCE">
              <w:rPr>
                <w:rFonts w:asciiTheme="minorHAnsi" w:hAnsiTheme="minorHAnsi" w:cstheme="minorHAnsi"/>
                <w:lang w:val="en-US"/>
              </w:rPr>
              <w:t>Restriction c): Others…</w:t>
            </w:r>
          </w:p>
          <w:p w14:paraId="7B7CFB2C" w14:textId="77777777" w:rsidR="008C65AD" w:rsidRPr="009F7FCE" w:rsidRDefault="008C65AD" w:rsidP="00B15362">
            <w:pPr>
              <w:pStyle w:val="ListParagraph"/>
              <w:numPr>
                <w:ilvl w:val="0"/>
                <w:numId w:val="26"/>
              </w:numPr>
              <w:spacing w:before="60" w:after="60"/>
              <w:jc w:val="both"/>
              <w:rPr>
                <w:rFonts w:asciiTheme="minorHAnsi" w:hAnsiTheme="minorHAnsi" w:cstheme="minorHAnsi"/>
                <w:lang w:val="en-US"/>
              </w:rPr>
            </w:pPr>
            <w:r w:rsidRPr="009F7FCE">
              <w:rPr>
                <w:rFonts w:asciiTheme="minorHAnsi" w:hAnsiTheme="minorHAnsi" w:cstheme="minorHAnsi"/>
                <w:b/>
                <w:bCs/>
                <w:lang w:val="en-US"/>
              </w:rPr>
              <w:t>Option 3:</w:t>
            </w:r>
            <w:r w:rsidRPr="009F7FCE">
              <w:rPr>
                <w:rFonts w:asciiTheme="minorHAnsi" w:hAnsiTheme="minorHAnsi" w:cstheme="minorHAnsi"/>
                <w:lang w:val="en-US"/>
              </w:rPr>
              <w:t xml:space="preserve"> Yes, without restrictions</w:t>
            </w:r>
          </w:p>
          <w:p w14:paraId="04BCB8F4" w14:textId="77777777" w:rsidR="008C65AD" w:rsidRPr="009F7FCE" w:rsidRDefault="008C65AD" w:rsidP="00B15362">
            <w:pPr>
              <w:pStyle w:val="ListParagraph"/>
              <w:spacing w:before="120" w:after="180"/>
              <w:ind w:left="1440"/>
              <w:contextualSpacing/>
              <w:jc w:val="both"/>
              <w:rPr>
                <w:lang w:val="en-US"/>
              </w:rPr>
            </w:pPr>
          </w:p>
          <w:p w14:paraId="571026C1" w14:textId="77777777" w:rsidR="008C65AD" w:rsidRPr="009F7FCE" w:rsidRDefault="008C65AD" w:rsidP="00B15362">
            <w:pPr>
              <w:pStyle w:val="ListParagraph"/>
              <w:spacing w:before="120" w:after="180"/>
              <w:ind w:left="0"/>
              <w:contextualSpacing/>
              <w:jc w:val="both"/>
              <w:rPr>
                <w:lang w:val="en-US"/>
              </w:rPr>
            </w:pPr>
            <w:r w:rsidRPr="009F7FCE">
              <w:rPr>
                <w:rFonts w:ascii="Arial" w:hAnsi="Arial" w:cs="Arial"/>
                <w:b/>
                <w:bCs/>
                <w:color w:val="0070C0"/>
                <w:lang w:val="en-US"/>
              </w:rPr>
              <w:t>WF: No convergence was achieved in this meeting. The discussion can be continued in the next meeting</w:t>
            </w:r>
          </w:p>
        </w:tc>
      </w:tr>
    </w:tbl>
    <w:p w14:paraId="51AD82E7" w14:textId="77777777" w:rsidR="008C65AD" w:rsidRPr="009F7FCE" w:rsidRDefault="008C65AD" w:rsidP="00B15362">
      <w:pPr>
        <w:jc w:val="both"/>
      </w:pPr>
    </w:p>
    <w:p w14:paraId="3FC2CB96" w14:textId="3D1E5762" w:rsidR="008C65AD" w:rsidRPr="009F7FCE" w:rsidRDefault="008C65AD" w:rsidP="00B15362">
      <w:pPr>
        <w:jc w:val="both"/>
      </w:pPr>
      <w:r w:rsidRPr="009F7FCE">
        <w:t xml:space="preserve">In this contribution we present </w:t>
      </w:r>
      <w:r w:rsidR="00EE0263" w:rsidRPr="009F7FCE">
        <w:t>our</w:t>
      </w:r>
      <w:r w:rsidRPr="009F7FCE">
        <w:t xml:space="preserve"> views on</w:t>
      </w:r>
      <w:r w:rsidR="0095376B" w:rsidRPr="009F7FCE">
        <w:t xml:space="preserve"> the dual-parent scenario and</w:t>
      </w:r>
      <w:r w:rsidRPr="009F7FCE">
        <w:t xml:space="preserve"> Intra-</w:t>
      </w:r>
      <w:r w:rsidR="007C665F" w:rsidRPr="009F7FCE">
        <w:t>C</w:t>
      </w:r>
      <w:r w:rsidRPr="009F7FCE">
        <w:t>arrier DC</w:t>
      </w:r>
      <w:r w:rsidR="00DE3A37" w:rsidRPr="009F7FCE">
        <w:t xml:space="preserve"> from a </w:t>
      </w:r>
      <w:r w:rsidR="0039103C" w:rsidRPr="009F7FCE">
        <w:t>form</w:t>
      </w:r>
      <w:r w:rsidR="00DE3A37" w:rsidRPr="009F7FCE">
        <w:t>al</w:t>
      </w:r>
      <w:r w:rsidR="0039103C" w:rsidRPr="009F7FCE">
        <w:t xml:space="preserve"> and procedural</w:t>
      </w:r>
      <w:r w:rsidR="00DE3A37" w:rsidRPr="009F7FCE">
        <w:t xml:space="preserve"> </w:t>
      </w:r>
      <w:r w:rsidR="0039103C" w:rsidRPr="009F7FCE">
        <w:t xml:space="preserve">perspective </w:t>
      </w:r>
      <w:r w:rsidR="00DE3A37" w:rsidRPr="009F7FCE">
        <w:t>a</w:t>
      </w:r>
      <w:r w:rsidR="0039103C" w:rsidRPr="009F7FCE">
        <w:t xml:space="preserve">s well as from a </w:t>
      </w:r>
      <w:r w:rsidR="00DE3A37" w:rsidRPr="009F7FCE">
        <w:t>technical perspective</w:t>
      </w:r>
      <w:r w:rsidRPr="009F7FCE">
        <w:t xml:space="preserve">. First, </w:t>
      </w:r>
      <w:r w:rsidR="002754F9" w:rsidRPr="009F7FCE">
        <w:t>t</w:t>
      </w:r>
      <w:r w:rsidRPr="009F7FCE">
        <w:t xml:space="preserve">he WID clearly states that multiplexing will take place between pairs of child and parent links (e.g., MT Tx/DU Tx), not </w:t>
      </w:r>
      <w:r w:rsidR="00240F55" w:rsidRPr="009F7FCE">
        <w:t xml:space="preserve">for </w:t>
      </w:r>
      <w:r w:rsidRPr="009F7FCE">
        <w:t>an</w:t>
      </w:r>
      <w:r w:rsidR="00240F55" w:rsidRPr="009F7FCE">
        <w:t xml:space="preserve"> arbitrary</w:t>
      </w:r>
      <w:r w:rsidRPr="009F7FCE">
        <w:t xml:space="preserve"> combination within a set of child and parent links</w:t>
      </w:r>
      <w:r w:rsidR="00EE4653" w:rsidRPr="009F7FCE">
        <w:t>, such as between parent and parent links</w:t>
      </w:r>
      <w:r w:rsidRPr="009F7FCE">
        <w:t xml:space="preserve">. For this reason, multiplexing between two parent links </w:t>
      </w:r>
      <w:r w:rsidR="006A6210" w:rsidRPr="009F7FCE">
        <w:t>is</w:t>
      </w:r>
      <w:r w:rsidRPr="009F7FCE">
        <w:t xml:space="preserve"> not included in the WID unless part of the existing DC framework</w:t>
      </w:r>
      <w:r w:rsidR="00E30024" w:rsidRPr="009F7FCE">
        <w:t xml:space="preserve"> </w:t>
      </w:r>
      <w:r w:rsidR="00EE4653" w:rsidRPr="009F7FCE">
        <w:t>(as defined by RAN2/3),</w:t>
      </w:r>
      <w:r w:rsidR="00E30024" w:rsidRPr="009F7FCE">
        <w:t xml:space="preserve"> since it would require specification of additional multiplexing capabilities</w:t>
      </w:r>
      <w:r w:rsidRPr="009F7FCE">
        <w:t xml:space="preserve">. </w:t>
      </w:r>
      <w:r w:rsidR="00CD3B55" w:rsidRPr="009F7FCE">
        <w:t>P</w:t>
      </w:r>
      <w:r w:rsidR="00010772" w:rsidRPr="009F7FCE">
        <w:t>art of the reason why</w:t>
      </w:r>
      <w:r w:rsidRPr="009F7FCE">
        <w:t xml:space="preserve"> Intra-Carrier NR-DC </w:t>
      </w:r>
      <w:r w:rsidR="00010772" w:rsidRPr="009F7FCE">
        <w:t xml:space="preserve">was not specified in </w:t>
      </w:r>
      <w:r w:rsidRPr="009F7FCE">
        <w:t>Rel-16</w:t>
      </w:r>
      <w:r w:rsidR="00010772" w:rsidRPr="009F7FCE">
        <w:t xml:space="preserve"> is due to the substantial specification complexity it would imply. </w:t>
      </w:r>
      <w:r w:rsidR="004745E2" w:rsidRPr="009F7FCE">
        <w:t xml:space="preserve">To instead undertake such specification work in the IAB WI is clearly beyond the scope of the IAB WID, in addition to such </w:t>
      </w:r>
      <w:r w:rsidR="00303BB5" w:rsidRPr="009F7FCE">
        <w:t>operation</w:t>
      </w:r>
      <w:r w:rsidRPr="009F7FCE">
        <w:t xml:space="preserve"> </w:t>
      </w:r>
      <w:r w:rsidR="00D72D77" w:rsidRPr="009F7FCE">
        <w:t>being</w:t>
      </w:r>
      <w:r w:rsidRPr="009F7FCE">
        <w:t xml:space="preserve"> related to general DC operation and should be considered in a wider scope than IAB. </w:t>
      </w:r>
      <w:r w:rsidR="00303BB5" w:rsidRPr="009F7FCE">
        <w:t xml:space="preserve">In Rel-17, </w:t>
      </w:r>
      <w:r w:rsidR="00AA210A" w:rsidRPr="009F7FCE">
        <w:t>the IAB-MT function should</w:t>
      </w:r>
      <w:r w:rsidR="00303BB5" w:rsidRPr="009F7FCE">
        <w:t>, as in the Rel-16 specification, adapt</w:t>
      </w:r>
      <w:r w:rsidR="00AA210A" w:rsidRPr="009F7FCE">
        <w:t xml:space="preserve"> existing UE functionalit</w:t>
      </w:r>
      <w:r w:rsidR="00303BB5" w:rsidRPr="009F7FCE">
        <w:t>ies</w:t>
      </w:r>
      <w:r w:rsidR="00AA210A" w:rsidRPr="009F7FCE">
        <w:t xml:space="preserve"> to fit the IAB context. </w:t>
      </w:r>
      <w:r w:rsidR="00303BB5" w:rsidRPr="009F7FCE">
        <w:t>Accordingly</w:t>
      </w:r>
      <w:r w:rsidR="00AA210A" w:rsidRPr="009F7FCE">
        <w:t>, Intra-</w:t>
      </w:r>
      <w:r w:rsidR="000F658C" w:rsidRPr="009F7FCE">
        <w:t>C</w:t>
      </w:r>
      <w:r w:rsidR="00AA210A" w:rsidRPr="009F7FCE">
        <w:t>arrier DC operation should be</w:t>
      </w:r>
      <w:r w:rsidR="00303BB5" w:rsidRPr="009F7FCE">
        <w:t>, if at all, first</w:t>
      </w:r>
      <w:r w:rsidR="00AA210A" w:rsidRPr="009F7FCE">
        <w:t xml:space="preserve"> discussed in MR-DC specification. </w:t>
      </w:r>
    </w:p>
    <w:p w14:paraId="0C56BD1D" w14:textId="7898725B" w:rsidR="008C65AD" w:rsidRPr="009F7FCE" w:rsidRDefault="008C65AD" w:rsidP="00B15362">
      <w:pPr>
        <w:pStyle w:val="Observation"/>
        <w:jc w:val="both"/>
      </w:pPr>
      <w:bookmarkStart w:id="212" w:name="_Toc52826145"/>
      <w:bookmarkStart w:id="213" w:name="_Toc53492301"/>
      <w:bookmarkStart w:id="214" w:name="_Toc54189364"/>
      <w:bookmarkStart w:id="215" w:name="_Toc54205949"/>
      <w:bookmarkStart w:id="216" w:name="_Toc54382814"/>
      <w:r w:rsidRPr="009F7FCE">
        <w:t xml:space="preserve">The WID clearly states that </w:t>
      </w:r>
      <w:r w:rsidR="00EE4653" w:rsidRPr="009F7FCE">
        <w:t xml:space="preserve">enhancement to the resource </w:t>
      </w:r>
      <w:r w:rsidRPr="009F7FCE">
        <w:t>multiplexing will take place between pairs of child and parent links (e.g., MT</w:t>
      </w:r>
      <w:r w:rsidR="00363AF1" w:rsidRPr="009F7FCE">
        <w:t>-</w:t>
      </w:r>
      <w:r w:rsidRPr="009F7FCE">
        <w:t>Tx/DU</w:t>
      </w:r>
      <w:r w:rsidR="00363AF1" w:rsidRPr="009F7FCE">
        <w:t>-</w:t>
      </w:r>
      <w:r w:rsidRPr="009F7FCE">
        <w:t>Tx), not any combination within an arbitrary set of child and parent links. For this reason, multiplexing between two parent links</w:t>
      </w:r>
      <w:r w:rsidR="00076E97" w:rsidRPr="009F7FCE">
        <w:t xml:space="preserve"> with identical carriers</w:t>
      </w:r>
      <w:r w:rsidRPr="009F7FCE">
        <w:t xml:space="preserve"> is not included in the WID unless part of the existing DC framework.</w:t>
      </w:r>
      <w:bookmarkEnd w:id="212"/>
      <w:bookmarkEnd w:id="213"/>
      <w:bookmarkEnd w:id="214"/>
      <w:bookmarkEnd w:id="215"/>
      <w:bookmarkEnd w:id="216"/>
    </w:p>
    <w:p w14:paraId="5FCC46E1" w14:textId="74966DBF" w:rsidR="00055BFD" w:rsidRPr="009F7FCE" w:rsidRDefault="008C65AD" w:rsidP="00B15362">
      <w:pPr>
        <w:pStyle w:val="Observation"/>
        <w:jc w:val="both"/>
      </w:pPr>
      <w:bookmarkStart w:id="217" w:name="_Toc53492302"/>
      <w:bookmarkStart w:id="218" w:name="_Toc54189365"/>
      <w:bookmarkStart w:id="219" w:name="_Toc54205950"/>
      <w:bookmarkStart w:id="220" w:name="_Toc54382815"/>
      <w:r w:rsidRPr="009F7FCE">
        <w:t>Intra-carrier DC is not included in the WI since the WI is based on existing DC functionality which</w:t>
      </w:r>
      <w:r w:rsidR="00F82BA7" w:rsidRPr="009F7FCE">
        <w:t>, so far,</w:t>
      </w:r>
      <w:r w:rsidRPr="009F7FCE">
        <w:t xml:space="preserve"> does not support Intra-carrier DC</w:t>
      </w:r>
      <w:r w:rsidR="00447CE0" w:rsidRPr="009F7FCE">
        <w:t>.</w:t>
      </w:r>
      <w:r w:rsidR="00076E97" w:rsidRPr="009F7FCE">
        <w:t xml:space="preserve"> </w:t>
      </w:r>
      <w:r w:rsidR="00F82BA7" w:rsidRPr="009F7FCE">
        <w:t>W</w:t>
      </w:r>
      <w:r w:rsidR="006043A7" w:rsidRPr="009F7FCE">
        <w:t>as</w:t>
      </w:r>
      <w:r w:rsidR="00F82BA7" w:rsidRPr="009F7FCE">
        <w:t xml:space="preserve"> Intra-Carrier </w:t>
      </w:r>
      <w:r w:rsidR="00F33CF8" w:rsidRPr="009F7FCE">
        <w:t xml:space="preserve">DC </w:t>
      </w:r>
      <w:r w:rsidR="00F82BA7" w:rsidRPr="009F7FCE">
        <w:t xml:space="preserve">to be included in the MR-DC specification, </w:t>
      </w:r>
      <w:r w:rsidR="00FC4936" w:rsidRPr="009F7FCE">
        <w:t xml:space="preserve">inclusion in the IAB WID can be </w:t>
      </w:r>
      <w:r w:rsidR="00583F63" w:rsidRPr="009F7FCE">
        <w:t>revisited</w:t>
      </w:r>
      <w:r w:rsidR="00FC4936" w:rsidRPr="009F7FCE">
        <w:t>.</w:t>
      </w:r>
      <w:bookmarkEnd w:id="217"/>
      <w:bookmarkEnd w:id="218"/>
      <w:bookmarkEnd w:id="219"/>
      <w:bookmarkEnd w:id="220"/>
    </w:p>
    <w:p w14:paraId="0815B684" w14:textId="66D35996" w:rsidR="00CD3B55" w:rsidRPr="009F7FCE" w:rsidRDefault="00CD3B55" w:rsidP="00B15362">
      <w:pPr>
        <w:jc w:val="both"/>
      </w:pPr>
      <w:r w:rsidRPr="009F7FCE">
        <w:t xml:space="preserve">In general, we see little practical use for Intra-Carrier DC for the objectives stated in the WID. FR2, mmW offers wider operating bandwidths, even wider than the maximum NR carrier BWs. In such a deployment, there is little use </w:t>
      </w:r>
      <w:r w:rsidR="00EE4653" w:rsidRPr="009F7FCE">
        <w:t>as</w:t>
      </w:r>
      <w:r w:rsidRPr="009F7FCE">
        <w:t xml:space="preserve"> Int</w:t>
      </w:r>
      <w:r w:rsidR="006121B7" w:rsidRPr="009F7FCE">
        <w:t>er</w:t>
      </w:r>
      <w:r w:rsidRPr="009F7FCE">
        <w:t>-Carrier DC</w:t>
      </w:r>
      <w:r w:rsidR="00EE4653" w:rsidRPr="009F7FCE">
        <w:t xml:space="preserve"> could be instead configured</w:t>
      </w:r>
      <w:r w:rsidRPr="009F7FCE">
        <w:t>.</w:t>
      </w:r>
      <w:r w:rsidRPr="009F7FCE" w:rsidDel="00151063">
        <w:t xml:space="preserve"> </w:t>
      </w:r>
      <w:r w:rsidRPr="009F7FCE">
        <w:t xml:space="preserve">FR1, on the other hand, offers little and narrow BWs of unpaired spectrum which makes it ill-suited for backhauling to start with, even more so if such a carrier additionally </w:t>
      </w:r>
      <w:r w:rsidR="0025613C" w:rsidRPr="009F7FCE">
        <w:t>is used for</w:t>
      </w:r>
      <w:r w:rsidRPr="009F7FCE">
        <w:t xml:space="preserve"> Intra-Carrier DC.</w:t>
      </w:r>
    </w:p>
    <w:p w14:paraId="38B0BF68" w14:textId="4E3D4E74" w:rsidR="00637786" w:rsidRPr="009F7FCE" w:rsidRDefault="00637786" w:rsidP="00B15362">
      <w:pPr>
        <w:pStyle w:val="Observation"/>
        <w:jc w:val="both"/>
      </w:pPr>
      <w:bookmarkStart w:id="221" w:name="_Toc54205951"/>
      <w:bookmarkStart w:id="222" w:name="_Toc54382816"/>
      <w:r w:rsidRPr="009F7FCE">
        <w:lastRenderedPageBreak/>
        <w:t>There is little practical use of Intra-Carrier DC neither in FR1 nor in existing FR2 spectrum.</w:t>
      </w:r>
      <w:bookmarkEnd w:id="221"/>
      <w:bookmarkEnd w:id="222"/>
    </w:p>
    <w:p w14:paraId="4FD6F425" w14:textId="1EF23A3C" w:rsidR="00202834" w:rsidRPr="009F7FCE" w:rsidRDefault="008C65AD" w:rsidP="00B15362">
      <w:pPr>
        <w:jc w:val="both"/>
      </w:pPr>
      <w:bookmarkStart w:id="223" w:name="_Toc54189367"/>
      <w:bookmarkEnd w:id="223"/>
      <w:r w:rsidRPr="009F7FCE">
        <w:t xml:space="preserve">In the current NR-DC framework, the MCG-link and the SCG-link are equipped with </w:t>
      </w:r>
      <w:r w:rsidR="00076E97" w:rsidRPr="009F7FCE">
        <w:t xml:space="preserve">distinct </w:t>
      </w:r>
      <w:r w:rsidRPr="009F7FCE">
        <w:t>schedulers</w:t>
      </w:r>
      <w:r w:rsidR="00440F61" w:rsidRPr="009F7FCE">
        <w:t xml:space="preserve"> which can operate independently</w:t>
      </w:r>
      <w:r w:rsidRPr="009F7FCE">
        <w:t xml:space="preserve">. When the MCG and SCG links share the same frequency and time resource it imposes a need for resource coordination where using independent schedulers will not be possible. A coordination of schedulers infers strict latency requirements on the backhaul communication between the parent nodes. In the current IAB framework, there is no direct communication between the parent nodes and signaling via the donor-CU can </w:t>
      </w:r>
      <w:r w:rsidR="00AE3FDE" w:rsidRPr="009F7FCE">
        <w:t xml:space="preserve">incur a </w:t>
      </w:r>
      <w:r w:rsidR="00E454AB" w:rsidRPr="009F7FCE">
        <w:t>substantial</w:t>
      </w:r>
      <w:r w:rsidRPr="009F7FCE">
        <w:t xml:space="preserve"> </w:t>
      </w:r>
      <w:r w:rsidR="00AE3FDE" w:rsidRPr="009F7FCE">
        <w:t xml:space="preserve">latency </w:t>
      </w:r>
      <w:r w:rsidR="00A52713" w:rsidRPr="009F7FCE">
        <w:t xml:space="preserve">since it may be routed over </w:t>
      </w:r>
      <w:r w:rsidRPr="009F7FCE">
        <w:t xml:space="preserve">multiple </w:t>
      </w:r>
      <w:r w:rsidR="00A52713" w:rsidRPr="009F7FCE">
        <w:t>wireless links</w:t>
      </w:r>
      <w:r w:rsidR="00AB1340" w:rsidRPr="009F7FCE">
        <w:t xml:space="preserve"> where occasional retransmissions must also be accounted for</w:t>
      </w:r>
      <w:r w:rsidRPr="009F7FCE">
        <w:t>.</w:t>
      </w:r>
    </w:p>
    <w:p w14:paraId="527FCF0A" w14:textId="54599EE0" w:rsidR="00202834" w:rsidRPr="009F7FCE" w:rsidRDefault="00202834" w:rsidP="00B15362">
      <w:pPr>
        <w:pStyle w:val="Observation"/>
        <w:jc w:val="both"/>
      </w:pPr>
      <w:bookmarkStart w:id="224" w:name="_Toc54382817"/>
      <w:r w:rsidRPr="009F7FCE">
        <w:t xml:space="preserve">For Intra-Carrier DC, </w:t>
      </w:r>
      <w:r w:rsidR="00EE4653" w:rsidRPr="009F7FCE">
        <w:t>dynamic scheduler coordination of parent IAB-nodes over an IAB backhaul link is</w:t>
      </w:r>
      <w:r w:rsidRPr="009F7FCE">
        <w:t xml:space="preserve"> </w:t>
      </w:r>
      <w:r w:rsidR="00EE4653" w:rsidRPr="009F7FCE">
        <w:t>a</w:t>
      </w:r>
      <w:r w:rsidRPr="009F7FCE">
        <w:t>n</w:t>
      </w:r>
      <w:r w:rsidR="00DD6996" w:rsidRPr="009F7FCE">
        <w:t xml:space="preserve"> </w:t>
      </w:r>
      <w:r w:rsidR="003D506D" w:rsidRPr="009F7FCE">
        <w:t>essential</w:t>
      </w:r>
      <w:r w:rsidR="00DD6996" w:rsidRPr="009F7FCE">
        <w:t xml:space="preserve"> aspect</w:t>
      </w:r>
      <w:r w:rsidR="00155E07" w:rsidRPr="009F7FCE">
        <w:t xml:space="preserve"> for resource coordination </w:t>
      </w:r>
      <w:r w:rsidR="00EE4653" w:rsidRPr="009F7FCE">
        <w:t xml:space="preserve">of </w:t>
      </w:r>
      <w:r w:rsidR="00155E07" w:rsidRPr="009F7FCE">
        <w:t>parent nodes.</w:t>
      </w:r>
      <w:bookmarkEnd w:id="224"/>
      <w:r w:rsidR="00155E07" w:rsidRPr="009F7FCE">
        <w:t xml:space="preserve"> </w:t>
      </w:r>
    </w:p>
    <w:p w14:paraId="12C2F888" w14:textId="17EEBC08" w:rsidR="00202834" w:rsidRPr="009F7FCE" w:rsidRDefault="00947B61" w:rsidP="00B15362">
      <w:pPr>
        <w:jc w:val="both"/>
      </w:pPr>
      <w:r w:rsidRPr="009F7FCE">
        <w:t>From a DC</w:t>
      </w:r>
      <w:r w:rsidR="0009057B" w:rsidRPr="009F7FCE">
        <w:t xml:space="preserve"> </w:t>
      </w:r>
      <w:r w:rsidRPr="009F7FCE">
        <w:t xml:space="preserve">link perspective, it is important that </w:t>
      </w:r>
      <w:r w:rsidR="00C67CD5" w:rsidRPr="009F7FCE">
        <w:t xml:space="preserve">DC </w:t>
      </w:r>
      <w:r w:rsidRPr="009F7FCE">
        <w:t>resource</w:t>
      </w:r>
      <w:r w:rsidR="00B9436F" w:rsidRPr="009F7FCE">
        <w:t>s are</w:t>
      </w:r>
      <w:r w:rsidRPr="009F7FCE">
        <w:t xml:space="preserve"> aggregated </w:t>
      </w:r>
      <w:r w:rsidR="00B9436F" w:rsidRPr="009F7FCE">
        <w:t>to achieve high network</w:t>
      </w:r>
      <w:r w:rsidRPr="009F7FCE">
        <w:t xml:space="preserve"> capacity</w:t>
      </w:r>
      <w:r w:rsidR="00CE2DC4" w:rsidRPr="009F7FCE">
        <w:t>. S</w:t>
      </w:r>
      <w:r w:rsidRPr="009F7FCE">
        <w:t>imultaneous reception from both MCG and SCG links</w:t>
      </w:r>
      <w:r w:rsidR="009571C9" w:rsidRPr="009F7FCE">
        <w:t>,</w:t>
      </w:r>
      <w:r w:rsidR="00CE2DC4" w:rsidRPr="009F7FCE">
        <w:t xml:space="preserve"> which share the same spectrum</w:t>
      </w:r>
      <w:r w:rsidR="009571C9" w:rsidRPr="009F7FCE">
        <w:t>,</w:t>
      </w:r>
      <w:r w:rsidR="00CE2DC4" w:rsidRPr="009F7FCE">
        <w:t xml:space="preserve"> would tighten the synchronization requirements on OFDM symbols. However, in IAB networks, an ideal synchronization of the parent nodes is not guaranteed </w:t>
      </w:r>
      <w:r w:rsidR="00C67CD5" w:rsidRPr="009F7FCE">
        <w:t>for various reasons, e.g.,</w:t>
      </w:r>
      <w:r w:rsidR="00CE2DC4" w:rsidRPr="009F7FCE">
        <w:t xml:space="preserve"> there is no requirement on </w:t>
      </w:r>
      <w:proofErr w:type="spellStart"/>
      <w:r w:rsidR="00CE2DC4" w:rsidRPr="009F7FCE">
        <w:t>T_delta</w:t>
      </w:r>
      <w:proofErr w:type="spellEnd"/>
      <w:r w:rsidR="00EC3624" w:rsidRPr="009F7FCE">
        <w:t xml:space="preserve"> in OTA-based timing alignment</w:t>
      </w:r>
      <w:r w:rsidR="00CE2DC4" w:rsidRPr="009F7FCE">
        <w:t xml:space="preserve">. </w:t>
      </w:r>
      <w:r w:rsidR="006C7A42" w:rsidRPr="009F7FCE">
        <w:t xml:space="preserve">Furthermore, the CP duration would imply severe restrictions in the IAB deployment to meet </w:t>
      </w:r>
      <w:r w:rsidR="003033FC" w:rsidRPr="009F7FCE">
        <w:t>such</w:t>
      </w:r>
      <w:r w:rsidR="006C7A42" w:rsidRPr="009F7FCE">
        <w:t xml:space="preserve"> synchronization requirements. For FR2, a CP duration of 0.6 µs corresponds to 180 m difference in deployment distance between the two parent nodes. </w:t>
      </w:r>
      <w:r w:rsidR="00EE4653" w:rsidRPr="009F7FCE">
        <w:t xml:space="preserve">In addition, an allowed cell phase error of 3 µs between </w:t>
      </w:r>
      <w:r w:rsidR="009F7FCE" w:rsidRPr="009F7FCE">
        <w:t>neighboring</w:t>
      </w:r>
      <w:r w:rsidR="00EE4653" w:rsidRPr="009F7FCE">
        <w:t xml:space="preserve"> cells already stretches </w:t>
      </w:r>
      <w:r w:rsidR="00E454AB" w:rsidRPr="009F7FCE">
        <w:t>and even</w:t>
      </w:r>
      <w:r w:rsidR="00EE4653" w:rsidRPr="009F7FCE">
        <w:t xml:space="preserve"> exceeds the CP duration for most SCS configurations.</w:t>
      </w:r>
    </w:p>
    <w:p w14:paraId="360D3093" w14:textId="049FF710" w:rsidR="00202834" w:rsidRPr="009F7FCE" w:rsidRDefault="00202834" w:rsidP="00B15362">
      <w:pPr>
        <w:pStyle w:val="Observation"/>
        <w:jc w:val="both"/>
      </w:pPr>
      <w:bookmarkStart w:id="225" w:name="_Toc54382818"/>
      <w:r w:rsidRPr="009F7FCE">
        <w:t xml:space="preserve">For FR2, </w:t>
      </w:r>
      <w:r w:rsidR="00C960C4">
        <w:t xml:space="preserve">DC </w:t>
      </w:r>
      <w:r w:rsidRPr="009F7FCE">
        <w:t>synchronization requirements would imply severe</w:t>
      </w:r>
      <w:r w:rsidR="00EE4653" w:rsidRPr="009F7FCE">
        <w:t>, if not impossible,</w:t>
      </w:r>
      <w:r w:rsidRPr="009F7FCE">
        <w:t xml:space="preserve"> restrictions in the IAB deployment.</w:t>
      </w:r>
      <w:bookmarkEnd w:id="225"/>
    </w:p>
    <w:p w14:paraId="0C1A75F1" w14:textId="56399F35" w:rsidR="008C65AD" w:rsidRPr="009F7FCE" w:rsidRDefault="008C65AD" w:rsidP="00B15362">
      <w:pPr>
        <w:jc w:val="both"/>
      </w:pPr>
      <w:r w:rsidRPr="009F7FCE">
        <w:t>Besides the complexity in resource coordination</w:t>
      </w:r>
      <w:r w:rsidR="00F464B9" w:rsidRPr="009F7FCE">
        <w:t xml:space="preserve"> and synchronization of the parent nodes</w:t>
      </w:r>
      <w:r w:rsidRPr="009F7FCE">
        <w:t xml:space="preserve">, </w:t>
      </w:r>
      <w:r w:rsidR="00C67CD5" w:rsidRPr="009F7FCE">
        <w:t>frequent</w:t>
      </w:r>
      <w:r w:rsidRPr="009F7FCE">
        <w:t xml:space="preserve"> co-channel interference measurement </w:t>
      </w:r>
      <w:r w:rsidR="00C67CD5" w:rsidRPr="009F7FCE">
        <w:t>would be needed</w:t>
      </w:r>
      <w:r w:rsidRPr="009F7FCE">
        <w:t xml:space="preserve"> to enable Intra-Carrier DC. </w:t>
      </w:r>
      <w:r w:rsidR="00C67CD5" w:rsidRPr="009F7FCE">
        <w:t>Finally</w:t>
      </w:r>
      <w:r w:rsidR="00F464B9" w:rsidRPr="009F7FCE">
        <w:t>, it is</w:t>
      </w:r>
      <w:r w:rsidR="00C67CD5" w:rsidRPr="009F7FCE">
        <w:t xml:space="preserve"> also</w:t>
      </w:r>
      <w:r w:rsidR="00F464B9" w:rsidRPr="009F7FCE">
        <w:t xml:space="preserve"> worth mentioning that there is no RF specification </w:t>
      </w:r>
      <w:r w:rsidR="005E3A29" w:rsidRPr="009F7FCE">
        <w:t>to support</w:t>
      </w:r>
      <w:r w:rsidR="00F464B9" w:rsidRPr="009F7FCE">
        <w:t xml:space="preserve"> Intra-carrier DC. </w:t>
      </w:r>
      <w:r w:rsidR="00DD51C1" w:rsidRPr="009F7FCE">
        <w:t>In conclusion, specification</w:t>
      </w:r>
      <w:r w:rsidRPr="009F7FCE">
        <w:t xml:space="preserve"> of Intra-Carrier DC will require extensive work that is not accounted for in time budget of the current WI</w:t>
      </w:r>
      <w:r w:rsidR="00EE4653" w:rsidRPr="009F7FCE">
        <w:t xml:space="preserve"> planning</w:t>
      </w:r>
      <w:r w:rsidRPr="009F7FCE">
        <w:t xml:space="preserve">. </w:t>
      </w:r>
      <w:r w:rsidR="00E42720" w:rsidRPr="009F7FCE">
        <w:t xml:space="preserve">IAB dual connectivity shall be based on the existing DC framework, according to the </w:t>
      </w:r>
      <w:r w:rsidR="00BF49B2" w:rsidRPr="009F7FCE">
        <w:t>decision</w:t>
      </w:r>
      <w:r w:rsidR="00E42720" w:rsidRPr="009F7FCE">
        <w:t xml:space="preserve"> of the RANP #89e Question 1a</w:t>
      </w:r>
      <w:r w:rsidR="00BF49B2" w:rsidRPr="009F7FCE">
        <w:t xml:space="preserve"> </w:t>
      </w:r>
      <w:r w:rsidR="00BF49B2" w:rsidRPr="009F7FCE">
        <w:fldChar w:fldCharType="begin"/>
      </w:r>
      <w:r w:rsidR="00BF49B2" w:rsidRPr="009F7FCE">
        <w:instrText xml:space="preserve"> REF _Ref54188592 \r \h </w:instrText>
      </w:r>
      <w:r w:rsidR="00FF3614" w:rsidRPr="009F7FCE">
        <w:instrText xml:space="preserve"> \* MERGEFORMAT </w:instrText>
      </w:r>
      <w:r w:rsidR="00BF49B2" w:rsidRPr="009F7FCE">
        <w:fldChar w:fldCharType="separate"/>
      </w:r>
      <w:r w:rsidR="005709C0">
        <w:t>[10]</w:t>
      </w:r>
      <w:r w:rsidR="00BF49B2" w:rsidRPr="009F7FCE">
        <w:fldChar w:fldCharType="end"/>
      </w:r>
      <w:r w:rsidR="00E42720" w:rsidRPr="009F7FCE">
        <w:t>.</w:t>
      </w:r>
    </w:p>
    <w:p w14:paraId="6E2B5E03" w14:textId="5F6029B6" w:rsidR="008C65AD" w:rsidRPr="009F7FCE" w:rsidRDefault="008C65AD" w:rsidP="00B15362">
      <w:pPr>
        <w:pStyle w:val="Observation"/>
        <w:jc w:val="both"/>
      </w:pPr>
      <w:bookmarkStart w:id="226" w:name="_Toc52826141"/>
      <w:bookmarkStart w:id="227" w:name="_Toc53492304"/>
      <w:bookmarkStart w:id="228" w:name="_Toc54189369"/>
      <w:bookmarkStart w:id="229" w:name="_Toc54205953"/>
      <w:bookmarkStart w:id="230" w:name="_Toc54382819"/>
      <w:r w:rsidRPr="009F7FCE">
        <w:t>Implementation of intra-carrier DC will require extensive work that is not accounted for in time budget of the current WI</w:t>
      </w:r>
      <w:r w:rsidR="00EE4653" w:rsidRPr="009F7FCE">
        <w:t xml:space="preserve"> planning</w:t>
      </w:r>
      <w:r w:rsidRPr="009F7FCE">
        <w:t>.</w:t>
      </w:r>
      <w:bookmarkEnd w:id="226"/>
      <w:bookmarkEnd w:id="227"/>
      <w:bookmarkEnd w:id="228"/>
      <w:bookmarkEnd w:id="229"/>
      <w:bookmarkEnd w:id="230"/>
    </w:p>
    <w:p w14:paraId="10C29387" w14:textId="609463A4" w:rsidR="008C65AD" w:rsidRPr="009F7FCE" w:rsidRDefault="008C65AD" w:rsidP="00B15362">
      <w:pPr>
        <w:pStyle w:val="Observation"/>
        <w:jc w:val="both"/>
      </w:pPr>
      <w:bookmarkStart w:id="231" w:name="_Toc52826142"/>
      <w:bookmarkStart w:id="232" w:name="_Toc53492305"/>
      <w:bookmarkStart w:id="233" w:name="_Toc54189370"/>
      <w:bookmarkStart w:id="234" w:name="_Toc54205954"/>
      <w:bookmarkStart w:id="235" w:name="_Toc54382820"/>
      <w:r w:rsidRPr="009F7FCE">
        <w:t>IAB DC shall be based on existing DC framework (according to RANP #89</w:t>
      </w:r>
      <w:r w:rsidR="00E42720" w:rsidRPr="009F7FCE">
        <w:t>e</w:t>
      </w:r>
      <w:r w:rsidRPr="009F7FCE">
        <w:t xml:space="preserve"> question 1).</w:t>
      </w:r>
      <w:bookmarkEnd w:id="231"/>
      <w:bookmarkEnd w:id="232"/>
      <w:bookmarkEnd w:id="233"/>
      <w:bookmarkEnd w:id="234"/>
      <w:bookmarkEnd w:id="235"/>
    </w:p>
    <w:p w14:paraId="5EE6AA90" w14:textId="42F48BBD" w:rsidR="008C65AD" w:rsidRPr="009F7FCE" w:rsidRDefault="008C65AD" w:rsidP="00B15362">
      <w:pPr>
        <w:jc w:val="both"/>
      </w:pPr>
      <w:r w:rsidRPr="009F7FCE">
        <w:t>Based on the above observations, we think Intra-carrier DC should not be further studied for Rel-17 enhanced IAB.</w:t>
      </w:r>
    </w:p>
    <w:p w14:paraId="522A42A8" w14:textId="593D5882" w:rsidR="008C65AD" w:rsidRPr="009F7FCE" w:rsidRDefault="008C65AD" w:rsidP="00B15362">
      <w:pPr>
        <w:pStyle w:val="Proposal"/>
        <w:jc w:val="both"/>
      </w:pPr>
      <w:bookmarkStart w:id="236" w:name="_Toc52826154"/>
      <w:bookmarkStart w:id="237" w:name="_Toc53492314"/>
      <w:bookmarkStart w:id="238" w:name="_Toc54189378"/>
      <w:bookmarkStart w:id="239" w:name="_Toc54205962"/>
      <w:bookmarkStart w:id="240" w:name="_Toc54382830"/>
      <w:r w:rsidRPr="009F7FCE">
        <w:t>Intra-carrier DC is not further studied for Rel-17 enhanced IAB.</w:t>
      </w:r>
      <w:bookmarkEnd w:id="236"/>
      <w:bookmarkEnd w:id="237"/>
      <w:bookmarkEnd w:id="238"/>
      <w:bookmarkEnd w:id="239"/>
      <w:bookmarkEnd w:id="240"/>
    </w:p>
    <w:p w14:paraId="114F6F10" w14:textId="77777777" w:rsidR="00C01F33" w:rsidRPr="009F7FCE" w:rsidRDefault="00C01F33" w:rsidP="00B15362">
      <w:pPr>
        <w:pStyle w:val="Heading1"/>
        <w:jc w:val="both"/>
        <w:rPr>
          <w:lang w:val="en-US"/>
        </w:rPr>
      </w:pPr>
      <w:r w:rsidRPr="009F7FCE">
        <w:rPr>
          <w:lang w:val="en-US"/>
        </w:rPr>
        <w:t>Conclusion</w:t>
      </w:r>
    </w:p>
    <w:p w14:paraId="2F647881" w14:textId="77777777" w:rsidR="008E065E" w:rsidRPr="009F7FCE" w:rsidRDefault="008E065E" w:rsidP="00B15362">
      <w:pPr>
        <w:pStyle w:val="BodyText"/>
        <w:jc w:val="both"/>
        <w:rPr>
          <w:b/>
        </w:rPr>
      </w:pPr>
      <w:r w:rsidRPr="009F7FCE">
        <w:t xml:space="preserve">In </w:t>
      </w:r>
      <w:r w:rsidR="007729A2" w:rsidRPr="009F7FCE">
        <w:t xml:space="preserve">the previous </w:t>
      </w:r>
      <w:r w:rsidRPr="009F7FCE">
        <w:t>section</w:t>
      </w:r>
      <w:r w:rsidR="007729A2" w:rsidRPr="009F7FCE">
        <w:t>s</w:t>
      </w:r>
      <w:r w:rsidRPr="009F7FCE">
        <w:t xml:space="preserve"> we made the following observations:</w:t>
      </w:r>
      <w:r w:rsidR="00C93814" w:rsidRPr="009F7FCE">
        <w:rPr>
          <w:b/>
        </w:rPr>
        <w:t xml:space="preserve"> </w:t>
      </w:r>
    </w:p>
    <w:p w14:paraId="5394F665" w14:textId="77777777" w:rsidR="005709C0" w:rsidRDefault="006F6582" w:rsidP="005709C0">
      <w:pPr>
        <w:pStyle w:val="TableofFigures"/>
        <w:tabs>
          <w:tab w:val="right" w:leader="dot" w:pos="9629"/>
        </w:tabs>
        <w:jc w:val="both"/>
        <w:rPr>
          <w:rFonts w:eastAsiaTheme="minorEastAsia"/>
          <w:b w:val="0"/>
          <w:noProof/>
          <w:lang w:val="sv-SE" w:eastAsia="sv-SE"/>
        </w:rPr>
      </w:pPr>
      <w:r w:rsidRPr="009F7FCE">
        <w:rPr>
          <w:bCs/>
        </w:rPr>
        <w:fldChar w:fldCharType="begin"/>
      </w:r>
      <w:r w:rsidRPr="009F7FCE">
        <w:rPr>
          <w:bCs/>
        </w:rPr>
        <w:instrText xml:space="preserve"> TOC \f O \n \h \z \t "Observation" \c </w:instrText>
      </w:r>
      <w:r w:rsidRPr="009F7FCE">
        <w:rPr>
          <w:bCs/>
        </w:rPr>
        <w:fldChar w:fldCharType="separate"/>
      </w:r>
      <w:hyperlink w:anchor="_Toc54382807" w:history="1">
        <w:r w:rsidR="005709C0" w:rsidRPr="00A8581C">
          <w:rPr>
            <w:rStyle w:val="Hyperlink"/>
            <w:noProof/>
          </w:rPr>
          <w:t>Observation 1</w:t>
        </w:r>
        <w:r w:rsidR="005709C0">
          <w:rPr>
            <w:rFonts w:eastAsiaTheme="minorEastAsia"/>
            <w:b w:val="0"/>
            <w:noProof/>
            <w:lang w:val="sv-SE" w:eastAsia="sv-SE"/>
          </w:rPr>
          <w:tab/>
        </w:r>
        <w:r w:rsidR="005709C0" w:rsidRPr="00A8581C">
          <w:rPr>
            <w:rStyle w:val="Hyperlink"/>
            <w:noProof/>
          </w:rPr>
          <w:t>U</w:t>
        </w:r>
        <w:r w:rsidR="005709C0" w:rsidRPr="00A8581C">
          <w:rPr>
            <w:rStyle w:val="Hyperlink"/>
            <w:rFonts w:eastAsia="Times New Roman" w:cs="Segoe UI"/>
            <w:noProof/>
            <w:lang w:eastAsia="sv-SE"/>
          </w:rPr>
          <w:t>nreliable self-interference is depending on the channel, which is unsuitable for a network node with reliability requirements</w:t>
        </w:r>
        <w:r w:rsidR="005709C0" w:rsidRPr="00A8581C">
          <w:rPr>
            <w:rStyle w:val="Hyperlink"/>
            <w:noProof/>
          </w:rPr>
          <w:t>.</w:t>
        </w:r>
      </w:hyperlink>
    </w:p>
    <w:p w14:paraId="14BD5F8E" w14:textId="77777777" w:rsidR="005709C0" w:rsidRDefault="00A33CF4" w:rsidP="005709C0">
      <w:pPr>
        <w:pStyle w:val="TableofFigures"/>
        <w:tabs>
          <w:tab w:val="right" w:leader="dot" w:pos="9629"/>
        </w:tabs>
        <w:jc w:val="both"/>
        <w:rPr>
          <w:rFonts w:eastAsiaTheme="minorEastAsia"/>
          <w:b w:val="0"/>
          <w:noProof/>
          <w:lang w:val="sv-SE" w:eastAsia="sv-SE"/>
        </w:rPr>
      </w:pPr>
      <w:hyperlink w:anchor="_Toc54382808" w:history="1">
        <w:r w:rsidR="005709C0" w:rsidRPr="00A8581C">
          <w:rPr>
            <w:rStyle w:val="Hyperlink"/>
            <w:noProof/>
          </w:rPr>
          <w:t>Observation 2</w:t>
        </w:r>
        <w:r w:rsidR="005709C0">
          <w:rPr>
            <w:rFonts w:eastAsiaTheme="minorEastAsia"/>
            <w:b w:val="0"/>
            <w:noProof/>
            <w:lang w:val="sv-SE" w:eastAsia="sv-SE"/>
          </w:rPr>
          <w:tab/>
        </w:r>
        <w:r w:rsidR="005709C0" w:rsidRPr="00A8581C">
          <w:rPr>
            <w:rStyle w:val="Hyperlink"/>
            <w:noProof/>
          </w:rPr>
          <w:t>A full duplex link budget assumes up to ~90 dB self-interference to even reach 0 dB SINR towards the transmitter.</w:t>
        </w:r>
      </w:hyperlink>
    </w:p>
    <w:p w14:paraId="40077C6A" w14:textId="77777777" w:rsidR="005709C0" w:rsidRDefault="00A33CF4" w:rsidP="005709C0">
      <w:pPr>
        <w:pStyle w:val="TableofFigures"/>
        <w:tabs>
          <w:tab w:val="right" w:leader="dot" w:pos="9629"/>
        </w:tabs>
        <w:jc w:val="both"/>
        <w:rPr>
          <w:rFonts w:eastAsiaTheme="minorEastAsia"/>
          <w:b w:val="0"/>
          <w:noProof/>
          <w:lang w:val="sv-SE" w:eastAsia="sv-SE"/>
        </w:rPr>
      </w:pPr>
      <w:hyperlink w:anchor="_Toc54382809" w:history="1">
        <w:r w:rsidR="005709C0" w:rsidRPr="00A8581C">
          <w:rPr>
            <w:rStyle w:val="Hyperlink"/>
            <w:noProof/>
          </w:rPr>
          <w:t>Observation 3</w:t>
        </w:r>
        <w:r w:rsidR="005709C0">
          <w:rPr>
            <w:rFonts w:eastAsiaTheme="minorEastAsia"/>
            <w:b w:val="0"/>
            <w:noProof/>
            <w:lang w:val="sv-SE" w:eastAsia="sv-SE"/>
          </w:rPr>
          <w:tab/>
        </w:r>
        <w:r w:rsidR="005709C0" w:rsidRPr="00A8581C">
          <w:rPr>
            <w:rStyle w:val="Hyperlink"/>
            <w:noProof/>
          </w:rPr>
          <w:t>Full duplex will require substantial redesign with Tx cancellation circuitry in each Rx chain substantially increasing CAPEX and time-to-market making it unattractive to the market.</w:t>
        </w:r>
      </w:hyperlink>
    </w:p>
    <w:p w14:paraId="7A3CC054" w14:textId="77777777" w:rsidR="005709C0" w:rsidRDefault="00A33CF4" w:rsidP="005709C0">
      <w:pPr>
        <w:pStyle w:val="TableofFigures"/>
        <w:tabs>
          <w:tab w:val="right" w:leader="dot" w:pos="9629"/>
        </w:tabs>
        <w:jc w:val="both"/>
        <w:rPr>
          <w:rFonts w:eastAsiaTheme="minorEastAsia"/>
          <w:b w:val="0"/>
          <w:noProof/>
          <w:lang w:val="sv-SE" w:eastAsia="sv-SE"/>
        </w:rPr>
      </w:pPr>
      <w:hyperlink w:anchor="_Toc54382810" w:history="1">
        <w:r w:rsidR="005709C0" w:rsidRPr="00A8581C">
          <w:rPr>
            <w:rStyle w:val="Hyperlink"/>
            <w:noProof/>
          </w:rPr>
          <w:t>Observation 4</w:t>
        </w:r>
        <w:r w:rsidR="005709C0">
          <w:rPr>
            <w:rFonts w:eastAsiaTheme="minorEastAsia"/>
            <w:b w:val="0"/>
            <w:noProof/>
            <w:lang w:val="sv-SE" w:eastAsia="sv-SE"/>
          </w:rPr>
          <w:tab/>
        </w:r>
        <w:r w:rsidR="005709C0" w:rsidRPr="00A8581C">
          <w:rPr>
            <w:rStyle w:val="Hyperlink"/>
            <w:noProof/>
          </w:rPr>
          <w:t>UL full duplex has the same problems with extensive interference as IAB half-duplex.</w:t>
        </w:r>
      </w:hyperlink>
    </w:p>
    <w:p w14:paraId="07AB3DD8" w14:textId="77777777" w:rsidR="005709C0" w:rsidRDefault="00A33CF4" w:rsidP="005709C0">
      <w:pPr>
        <w:pStyle w:val="TableofFigures"/>
        <w:tabs>
          <w:tab w:val="right" w:leader="dot" w:pos="9629"/>
        </w:tabs>
        <w:jc w:val="both"/>
        <w:rPr>
          <w:rFonts w:eastAsiaTheme="minorEastAsia"/>
          <w:b w:val="0"/>
          <w:noProof/>
          <w:lang w:val="sv-SE" w:eastAsia="sv-SE"/>
        </w:rPr>
      </w:pPr>
      <w:hyperlink w:anchor="_Toc54382811" w:history="1">
        <w:r w:rsidR="005709C0" w:rsidRPr="00A8581C">
          <w:rPr>
            <w:rStyle w:val="Hyperlink"/>
            <w:noProof/>
          </w:rPr>
          <w:t>Observation 5</w:t>
        </w:r>
        <w:r w:rsidR="005709C0">
          <w:rPr>
            <w:rFonts w:eastAsiaTheme="minorEastAsia"/>
            <w:b w:val="0"/>
            <w:noProof/>
            <w:lang w:val="sv-SE" w:eastAsia="sv-SE"/>
          </w:rPr>
          <w:tab/>
        </w:r>
        <w:r w:rsidR="005709C0" w:rsidRPr="00A8581C">
          <w:rPr>
            <w:rStyle w:val="Hyperlink"/>
            <w:noProof/>
          </w:rPr>
          <w:t>The Rel-16 H/S concept is not applicable in space-domain.</w:t>
        </w:r>
      </w:hyperlink>
    </w:p>
    <w:p w14:paraId="4F704D87" w14:textId="77777777" w:rsidR="005709C0" w:rsidRDefault="00A33CF4" w:rsidP="005709C0">
      <w:pPr>
        <w:pStyle w:val="TableofFigures"/>
        <w:tabs>
          <w:tab w:val="right" w:leader="dot" w:pos="9629"/>
        </w:tabs>
        <w:jc w:val="both"/>
        <w:rPr>
          <w:rFonts w:eastAsiaTheme="minorEastAsia"/>
          <w:b w:val="0"/>
          <w:noProof/>
          <w:lang w:val="sv-SE" w:eastAsia="sv-SE"/>
        </w:rPr>
      </w:pPr>
      <w:hyperlink w:anchor="_Toc54382812" w:history="1">
        <w:r w:rsidR="005709C0" w:rsidRPr="00A8581C">
          <w:rPr>
            <w:rStyle w:val="Hyperlink"/>
            <w:noProof/>
          </w:rPr>
          <w:t>Observation 6</w:t>
        </w:r>
        <w:r w:rsidR="005709C0">
          <w:rPr>
            <w:rFonts w:eastAsiaTheme="minorEastAsia"/>
            <w:b w:val="0"/>
            <w:noProof/>
            <w:lang w:val="sv-SE" w:eastAsia="sv-SE"/>
          </w:rPr>
          <w:tab/>
        </w:r>
        <w:r w:rsidR="005709C0" w:rsidRPr="00A8581C">
          <w:rPr>
            <w:rStyle w:val="Hyperlink"/>
            <w:noProof/>
          </w:rPr>
          <w:t>Configuring NA on link-basis at the IAB-DU can be useful to semi-statically resource-wise restrict certain child link and/or access links of the IAB-DU.</w:t>
        </w:r>
      </w:hyperlink>
    </w:p>
    <w:p w14:paraId="225B0784" w14:textId="77777777" w:rsidR="005709C0" w:rsidRDefault="00A33CF4" w:rsidP="005709C0">
      <w:pPr>
        <w:pStyle w:val="TableofFigures"/>
        <w:tabs>
          <w:tab w:val="right" w:leader="dot" w:pos="9629"/>
        </w:tabs>
        <w:jc w:val="both"/>
        <w:rPr>
          <w:rFonts w:eastAsiaTheme="minorEastAsia"/>
          <w:b w:val="0"/>
          <w:noProof/>
          <w:lang w:val="sv-SE" w:eastAsia="sv-SE"/>
        </w:rPr>
      </w:pPr>
      <w:hyperlink w:anchor="_Toc54382813" w:history="1">
        <w:r w:rsidR="005709C0" w:rsidRPr="00A8581C">
          <w:rPr>
            <w:rStyle w:val="Hyperlink"/>
            <w:noProof/>
          </w:rPr>
          <w:t>Observation 7</w:t>
        </w:r>
        <w:r w:rsidR="005709C0">
          <w:rPr>
            <w:rFonts w:eastAsiaTheme="minorEastAsia"/>
            <w:b w:val="0"/>
            <w:noProof/>
            <w:lang w:val="sv-SE" w:eastAsia="sv-SE"/>
          </w:rPr>
          <w:tab/>
        </w:r>
        <w:r w:rsidR="005709C0" w:rsidRPr="00A8581C">
          <w:rPr>
            <w:rStyle w:val="Hyperlink"/>
            <w:noProof/>
          </w:rPr>
          <w:t>IAB Inter-Carrier NR-DC is already supported with Rel-16 specification. For independent carriers, resource coordination is not needed.</w:t>
        </w:r>
      </w:hyperlink>
    </w:p>
    <w:p w14:paraId="193C13C5" w14:textId="77777777" w:rsidR="005709C0" w:rsidRDefault="00A33CF4" w:rsidP="005709C0">
      <w:pPr>
        <w:pStyle w:val="TableofFigures"/>
        <w:tabs>
          <w:tab w:val="right" w:leader="dot" w:pos="9629"/>
        </w:tabs>
        <w:jc w:val="both"/>
        <w:rPr>
          <w:rFonts w:eastAsiaTheme="minorEastAsia"/>
          <w:b w:val="0"/>
          <w:noProof/>
          <w:lang w:val="sv-SE" w:eastAsia="sv-SE"/>
        </w:rPr>
      </w:pPr>
      <w:hyperlink w:anchor="_Toc54382814" w:history="1">
        <w:r w:rsidR="005709C0" w:rsidRPr="00A8581C">
          <w:rPr>
            <w:rStyle w:val="Hyperlink"/>
            <w:noProof/>
          </w:rPr>
          <w:t>Observation 8</w:t>
        </w:r>
        <w:r w:rsidR="005709C0">
          <w:rPr>
            <w:rFonts w:eastAsiaTheme="minorEastAsia"/>
            <w:b w:val="0"/>
            <w:noProof/>
            <w:lang w:val="sv-SE" w:eastAsia="sv-SE"/>
          </w:rPr>
          <w:tab/>
        </w:r>
        <w:r w:rsidR="005709C0" w:rsidRPr="00A8581C">
          <w:rPr>
            <w:rStyle w:val="Hyperlink"/>
            <w:noProof/>
          </w:rPr>
          <w:t>The WID clearly states that enhancement to the resource multiplexing will take place between pairs of child and parent links (e.g., MT-Tx/DU-Tx), not any combination within an arbitrary set of child and parent links. For this reason, multiplexing between two parent links with identical carriers is not included in the WID unless part of the existing DC framework.</w:t>
        </w:r>
      </w:hyperlink>
    </w:p>
    <w:p w14:paraId="30CF249D" w14:textId="77777777" w:rsidR="005709C0" w:rsidRDefault="00A33CF4" w:rsidP="005709C0">
      <w:pPr>
        <w:pStyle w:val="TableofFigures"/>
        <w:tabs>
          <w:tab w:val="right" w:leader="dot" w:pos="9629"/>
        </w:tabs>
        <w:jc w:val="both"/>
        <w:rPr>
          <w:rFonts w:eastAsiaTheme="minorEastAsia"/>
          <w:b w:val="0"/>
          <w:noProof/>
          <w:lang w:val="sv-SE" w:eastAsia="sv-SE"/>
        </w:rPr>
      </w:pPr>
      <w:hyperlink w:anchor="_Toc54382815" w:history="1">
        <w:r w:rsidR="005709C0" w:rsidRPr="00A8581C">
          <w:rPr>
            <w:rStyle w:val="Hyperlink"/>
            <w:noProof/>
          </w:rPr>
          <w:t>Observation 9</w:t>
        </w:r>
        <w:r w:rsidR="005709C0">
          <w:rPr>
            <w:rFonts w:eastAsiaTheme="minorEastAsia"/>
            <w:b w:val="0"/>
            <w:noProof/>
            <w:lang w:val="sv-SE" w:eastAsia="sv-SE"/>
          </w:rPr>
          <w:tab/>
        </w:r>
        <w:r w:rsidR="005709C0" w:rsidRPr="00A8581C">
          <w:rPr>
            <w:rStyle w:val="Hyperlink"/>
            <w:noProof/>
          </w:rPr>
          <w:t>Intra-carrier DC is not included in the WI since the WI is based on existing DC functionality which, so far, does not support Intra-carrier DC. Was Intra-Carrier DC to be included in the MR-DC specification, inclusion in the IAB WID can be revisited.</w:t>
        </w:r>
      </w:hyperlink>
    </w:p>
    <w:p w14:paraId="15BC6FC8" w14:textId="77777777" w:rsidR="005709C0" w:rsidRDefault="00A33CF4" w:rsidP="005709C0">
      <w:pPr>
        <w:pStyle w:val="TableofFigures"/>
        <w:tabs>
          <w:tab w:val="right" w:leader="dot" w:pos="9629"/>
        </w:tabs>
        <w:jc w:val="both"/>
        <w:rPr>
          <w:rFonts w:eastAsiaTheme="minorEastAsia"/>
          <w:b w:val="0"/>
          <w:noProof/>
          <w:lang w:val="sv-SE" w:eastAsia="sv-SE"/>
        </w:rPr>
      </w:pPr>
      <w:hyperlink w:anchor="_Toc54382816" w:history="1">
        <w:r w:rsidR="005709C0" w:rsidRPr="00A8581C">
          <w:rPr>
            <w:rStyle w:val="Hyperlink"/>
            <w:noProof/>
          </w:rPr>
          <w:t>Observation 10</w:t>
        </w:r>
        <w:r w:rsidR="005709C0">
          <w:rPr>
            <w:rFonts w:eastAsiaTheme="minorEastAsia"/>
            <w:b w:val="0"/>
            <w:noProof/>
            <w:lang w:val="sv-SE" w:eastAsia="sv-SE"/>
          </w:rPr>
          <w:tab/>
        </w:r>
        <w:r w:rsidR="005709C0" w:rsidRPr="00A8581C">
          <w:rPr>
            <w:rStyle w:val="Hyperlink"/>
            <w:noProof/>
          </w:rPr>
          <w:t>There is little practical use of Intra-Carrier DC neither in FR1 nor in existing FR2 spectrum.</w:t>
        </w:r>
      </w:hyperlink>
    </w:p>
    <w:p w14:paraId="79190FD6" w14:textId="77777777" w:rsidR="005709C0" w:rsidRDefault="00A33CF4" w:rsidP="005709C0">
      <w:pPr>
        <w:pStyle w:val="TableofFigures"/>
        <w:tabs>
          <w:tab w:val="right" w:leader="dot" w:pos="9629"/>
        </w:tabs>
        <w:jc w:val="both"/>
        <w:rPr>
          <w:rFonts w:eastAsiaTheme="minorEastAsia"/>
          <w:b w:val="0"/>
          <w:noProof/>
          <w:lang w:val="sv-SE" w:eastAsia="sv-SE"/>
        </w:rPr>
      </w:pPr>
      <w:hyperlink w:anchor="_Toc54382817" w:history="1">
        <w:r w:rsidR="005709C0" w:rsidRPr="00A8581C">
          <w:rPr>
            <w:rStyle w:val="Hyperlink"/>
            <w:noProof/>
          </w:rPr>
          <w:t>Observation 11</w:t>
        </w:r>
        <w:r w:rsidR="005709C0">
          <w:rPr>
            <w:rFonts w:eastAsiaTheme="minorEastAsia"/>
            <w:b w:val="0"/>
            <w:noProof/>
            <w:lang w:val="sv-SE" w:eastAsia="sv-SE"/>
          </w:rPr>
          <w:tab/>
        </w:r>
        <w:r w:rsidR="005709C0" w:rsidRPr="00A8581C">
          <w:rPr>
            <w:rStyle w:val="Hyperlink"/>
            <w:noProof/>
          </w:rPr>
          <w:t>For Intra-Carrier DC, dynamic scheduler coordination of parent IAB-nodes over an IAB backhaul link is an essential aspect for resource coordination of parent nodes.</w:t>
        </w:r>
      </w:hyperlink>
    </w:p>
    <w:p w14:paraId="5181902F" w14:textId="77777777" w:rsidR="005709C0" w:rsidRDefault="00A33CF4" w:rsidP="005709C0">
      <w:pPr>
        <w:pStyle w:val="TableofFigures"/>
        <w:tabs>
          <w:tab w:val="right" w:leader="dot" w:pos="9629"/>
        </w:tabs>
        <w:jc w:val="both"/>
        <w:rPr>
          <w:rFonts w:eastAsiaTheme="minorEastAsia"/>
          <w:b w:val="0"/>
          <w:noProof/>
          <w:lang w:val="sv-SE" w:eastAsia="sv-SE"/>
        </w:rPr>
      </w:pPr>
      <w:hyperlink w:anchor="_Toc54382818" w:history="1">
        <w:r w:rsidR="005709C0" w:rsidRPr="00A8581C">
          <w:rPr>
            <w:rStyle w:val="Hyperlink"/>
            <w:noProof/>
          </w:rPr>
          <w:t>Observation 12</w:t>
        </w:r>
        <w:r w:rsidR="005709C0">
          <w:rPr>
            <w:rFonts w:eastAsiaTheme="minorEastAsia"/>
            <w:b w:val="0"/>
            <w:noProof/>
            <w:lang w:val="sv-SE" w:eastAsia="sv-SE"/>
          </w:rPr>
          <w:tab/>
        </w:r>
        <w:r w:rsidR="005709C0" w:rsidRPr="00A8581C">
          <w:rPr>
            <w:rStyle w:val="Hyperlink"/>
            <w:noProof/>
          </w:rPr>
          <w:t>For FR2, DC synchronization requirements would imply severe, if not impossible, restrictions in the IAB deployment.</w:t>
        </w:r>
      </w:hyperlink>
    </w:p>
    <w:p w14:paraId="72853642" w14:textId="77777777" w:rsidR="005709C0" w:rsidRDefault="00A33CF4" w:rsidP="005709C0">
      <w:pPr>
        <w:pStyle w:val="TableofFigures"/>
        <w:tabs>
          <w:tab w:val="right" w:leader="dot" w:pos="9629"/>
        </w:tabs>
        <w:jc w:val="both"/>
        <w:rPr>
          <w:rFonts w:eastAsiaTheme="minorEastAsia"/>
          <w:b w:val="0"/>
          <w:noProof/>
          <w:lang w:val="sv-SE" w:eastAsia="sv-SE"/>
        </w:rPr>
      </w:pPr>
      <w:hyperlink w:anchor="_Toc54382819" w:history="1">
        <w:r w:rsidR="005709C0" w:rsidRPr="00A8581C">
          <w:rPr>
            <w:rStyle w:val="Hyperlink"/>
            <w:noProof/>
          </w:rPr>
          <w:t>Observation 13</w:t>
        </w:r>
        <w:r w:rsidR="005709C0">
          <w:rPr>
            <w:rFonts w:eastAsiaTheme="minorEastAsia"/>
            <w:b w:val="0"/>
            <w:noProof/>
            <w:lang w:val="sv-SE" w:eastAsia="sv-SE"/>
          </w:rPr>
          <w:tab/>
        </w:r>
        <w:r w:rsidR="005709C0" w:rsidRPr="00A8581C">
          <w:rPr>
            <w:rStyle w:val="Hyperlink"/>
            <w:noProof/>
          </w:rPr>
          <w:t>Implementation of intra-carrier DC will require extensive work that is not accounted for in time budget of the current WI planning.</w:t>
        </w:r>
      </w:hyperlink>
    </w:p>
    <w:p w14:paraId="7B7F8459" w14:textId="77777777" w:rsidR="005709C0" w:rsidRDefault="00A33CF4" w:rsidP="005709C0">
      <w:pPr>
        <w:pStyle w:val="TableofFigures"/>
        <w:tabs>
          <w:tab w:val="right" w:leader="dot" w:pos="9629"/>
        </w:tabs>
        <w:jc w:val="both"/>
        <w:rPr>
          <w:rFonts w:eastAsiaTheme="minorEastAsia"/>
          <w:b w:val="0"/>
          <w:noProof/>
          <w:lang w:val="sv-SE" w:eastAsia="sv-SE"/>
        </w:rPr>
      </w:pPr>
      <w:hyperlink w:anchor="_Toc54382820" w:history="1">
        <w:r w:rsidR="005709C0" w:rsidRPr="00A8581C">
          <w:rPr>
            <w:rStyle w:val="Hyperlink"/>
            <w:noProof/>
          </w:rPr>
          <w:t>Observation 14</w:t>
        </w:r>
        <w:r w:rsidR="005709C0">
          <w:rPr>
            <w:rFonts w:eastAsiaTheme="minorEastAsia"/>
            <w:b w:val="0"/>
            <w:noProof/>
            <w:lang w:val="sv-SE" w:eastAsia="sv-SE"/>
          </w:rPr>
          <w:tab/>
        </w:r>
        <w:r w:rsidR="005709C0" w:rsidRPr="00A8581C">
          <w:rPr>
            <w:rStyle w:val="Hyperlink"/>
            <w:noProof/>
          </w:rPr>
          <w:t>IAB DC shall be based on existing DC framework (according to RANP #89e question 1).</w:t>
        </w:r>
      </w:hyperlink>
    </w:p>
    <w:p w14:paraId="23ABA128" w14:textId="66054CA1" w:rsidR="006E1C82" w:rsidRPr="009F7FCE" w:rsidRDefault="006F6582" w:rsidP="00B15362">
      <w:pPr>
        <w:pStyle w:val="BodyText"/>
        <w:jc w:val="both"/>
      </w:pPr>
      <w:r w:rsidRPr="009F7FCE">
        <w:fldChar w:fldCharType="end"/>
      </w:r>
    </w:p>
    <w:p w14:paraId="0F8B9E43" w14:textId="77777777" w:rsidR="006E1C82" w:rsidRPr="009F7FCE" w:rsidRDefault="008E065E" w:rsidP="00B15362">
      <w:pPr>
        <w:pStyle w:val="BodyText"/>
        <w:jc w:val="both"/>
      </w:pPr>
      <w:r w:rsidRPr="009F7FCE">
        <w:t xml:space="preserve">Based on the discussion in </w:t>
      </w:r>
      <w:r w:rsidR="007729A2" w:rsidRPr="009F7FCE">
        <w:t xml:space="preserve">the previous </w:t>
      </w:r>
      <w:r w:rsidRPr="009F7FCE">
        <w:t>section</w:t>
      </w:r>
      <w:r w:rsidR="007729A2" w:rsidRPr="009F7FCE">
        <w:t>s</w:t>
      </w:r>
      <w:r w:rsidRPr="009F7FCE">
        <w:t xml:space="preserve"> we propose the following:</w:t>
      </w:r>
    </w:p>
    <w:p w14:paraId="40183DC5" w14:textId="77777777" w:rsidR="005709C0" w:rsidRDefault="006E1C82" w:rsidP="005709C0">
      <w:pPr>
        <w:pStyle w:val="TableofFigures"/>
        <w:tabs>
          <w:tab w:val="right" w:leader="dot" w:pos="9629"/>
        </w:tabs>
        <w:jc w:val="both"/>
        <w:rPr>
          <w:rFonts w:eastAsiaTheme="minorEastAsia"/>
          <w:b w:val="0"/>
          <w:noProof/>
          <w:lang w:val="sv-SE" w:eastAsia="sv-SE"/>
        </w:rPr>
      </w:pPr>
      <w:r w:rsidRPr="009F7FCE">
        <w:rPr>
          <w:bCs/>
        </w:rPr>
        <w:fldChar w:fldCharType="begin"/>
      </w:r>
      <w:r w:rsidRPr="009F7FCE">
        <w:rPr>
          <w:bCs/>
        </w:rPr>
        <w:instrText xml:space="preserve"> TOC \n \h \z \t "Proposal" \c </w:instrText>
      </w:r>
      <w:r w:rsidRPr="009F7FCE">
        <w:rPr>
          <w:bCs/>
        </w:rPr>
        <w:fldChar w:fldCharType="separate"/>
      </w:r>
      <w:hyperlink w:anchor="_Toc54382821" w:history="1">
        <w:r w:rsidR="005709C0" w:rsidRPr="002C7378">
          <w:rPr>
            <w:rStyle w:val="Hyperlink"/>
            <w:noProof/>
          </w:rPr>
          <w:t>Proposal 1</w:t>
        </w:r>
        <w:r w:rsidR="005709C0">
          <w:rPr>
            <w:rFonts w:eastAsiaTheme="minorEastAsia"/>
            <w:b w:val="0"/>
            <w:noProof/>
            <w:lang w:val="sv-SE" w:eastAsia="sv-SE"/>
          </w:rPr>
          <w:tab/>
        </w:r>
        <w:r w:rsidR="005709C0" w:rsidRPr="002C7378">
          <w:rPr>
            <w:rStyle w:val="Hyperlink"/>
            <w:noProof/>
          </w:rPr>
          <w:t xml:space="preserve">Simultaneous transmission based on FDM/SDM principles, i.e., </w:t>
        </w:r>
        <w:r w:rsidR="005709C0" w:rsidRPr="002C7378">
          <w:rPr>
            <w:rStyle w:val="Hyperlink"/>
            <w:i/>
            <w:noProof/>
          </w:rPr>
          <w:t>half-duplex transmission</w:t>
        </w:r>
        <w:r w:rsidR="005709C0" w:rsidRPr="002C7378">
          <w:rPr>
            <w:rStyle w:val="Hyperlink"/>
            <w:noProof/>
          </w:rPr>
          <w:t xml:space="preserve">, and simultaneous reception based on FDM/SDM principles, i.e., </w:t>
        </w:r>
        <w:r w:rsidR="005709C0" w:rsidRPr="002C7378">
          <w:rPr>
            <w:rStyle w:val="Hyperlink"/>
            <w:i/>
            <w:noProof/>
          </w:rPr>
          <w:t>half-duplex reception,</w:t>
        </w:r>
        <w:r w:rsidR="005709C0" w:rsidRPr="002C7378">
          <w:rPr>
            <w:rStyle w:val="Hyperlink"/>
            <w:noProof/>
          </w:rPr>
          <w:t xml:space="preserve"> are technically feasible and should be RAN 1’s priority in Rel-17.</w:t>
        </w:r>
      </w:hyperlink>
    </w:p>
    <w:p w14:paraId="7D068867" w14:textId="77777777" w:rsidR="005709C0" w:rsidRDefault="00A33CF4" w:rsidP="005709C0">
      <w:pPr>
        <w:pStyle w:val="TableofFigures"/>
        <w:tabs>
          <w:tab w:val="right" w:leader="dot" w:pos="9629"/>
        </w:tabs>
        <w:jc w:val="both"/>
        <w:rPr>
          <w:rFonts w:eastAsiaTheme="minorEastAsia"/>
          <w:b w:val="0"/>
          <w:noProof/>
          <w:lang w:val="sv-SE" w:eastAsia="sv-SE"/>
        </w:rPr>
      </w:pPr>
      <w:hyperlink w:anchor="_Toc54382822" w:history="1">
        <w:r w:rsidR="005709C0" w:rsidRPr="002C7378">
          <w:rPr>
            <w:rStyle w:val="Hyperlink"/>
            <w:noProof/>
          </w:rPr>
          <w:t>Proposal 2</w:t>
        </w:r>
        <w:r w:rsidR="005709C0">
          <w:rPr>
            <w:rFonts w:eastAsiaTheme="minorEastAsia"/>
            <w:b w:val="0"/>
            <w:noProof/>
            <w:lang w:val="sv-SE" w:eastAsia="sv-SE"/>
          </w:rPr>
          <w:tab/>
        </w:r>
        <w:r w:rsidR="005709C0" w:rsidRPr="002C7378">
          <w:rPr>
            <w:rStyle w:val="Hyperlink"/>
            <w:noProof/>
          </w:rPr>
          <w:t xml:space="preserve">Simultaneous MT RX and DU TX, i.e., </w:t>
        </w:r>
        <w:r w:rsidR="005709C0" w:rsidRPr="002C7378">
          <w:rPr>
            <w:rStyle w:val="Hyperlink"/>
            <w:i/>
            <w:noProof/>
          </w:rPr>
          <w:t>downstream full-duplex</w:t>
        </w:r>
        <w:r w:rsidR="005709C0" w:rsidRPr="002C7378">
          <w:rPr>
            <w:rStyle w:val="Hyperlink"/>
            <w:noProof/>
          </w:rPr>
          <w:t xml:space="preserve">, and simultaneous MT TX and DU RX, i.e., </w:t>
        </w:r>
        <w:r w:rsidR="005709C0" w:rsidRPr="002C7378">
          <w:rPr>
            <w:rStyle w:val="Hyperlink"/>
            <w:i/>
            <w:noProof/>
          </w:rPr>
          <w:t>upstream full-duplex</w:t>
        </w:r>
        <w:r w:rsidR="005709C0" w:rsidRPr="002C7378">
          <w:rPr>
            <w:rStyle w:val="Hyperlink"/>
            <w:noProof/>
          </w:rPr>
          <w:t>, are not prioritized in Rel-17.</w:t>
        </w:r>
      </w:hyperlink>
    </w:p>
    <w:p w14:paraId="7EABCF73" w14:textId="77777777" w:rsidR="005709C0" w:rsidRDefault="00A33CF4" w:rsidP="005709C0">
      <w:pPr>
        <w:pStyle w:val="TableofFigures"/>
        <w:tabs>
          <w:tab w:val="right" w:leader="dot" w:pos="9629"/>
        </w:tabs>
        <w:jc w:val="both"/>
        <w:rPr>
          <w:rFonts w:eastAsiaTheme="minorEastAsia"/>
          <w:b w:val="0"/>
          <w:noProof/>
          <w:lang w:val="sv-SE" w:eastAsia="sv-SE"/>
        </w:rPr>
      </w:pPr>
      <w:hyperlink w:anchor="_Toc54382823" w:history="1">
        <w:r w:rsidR="005709C0" w:rsidRPr="002C7378">
          <w:rPr>
            <w:rStyle w:val="Hyperlink"/>
            <w:noProof/>
          </w:rPr>
          <w:t>Proposal 3</w:t>
        </w:r>
        <w:r w:rsidR="005709C0">
          <w:rPr>
            <w:rFonts w:eastAsiaTheme="minorEastAsia"/>
            <w:b w:val="0"/>
            <w:noProof/>
            <w:lang w:val="sv-SE" w:eastAsia="sv-SE"/>
          </w:rPr>
          <w:tab/>
        </w:r>
        <w:r w:rsidR="005709C0" w:rsidRPr="002C7378">
          <w:rPr>
            <w:rStyle w:val="Hyperlink"/>
            <w:noProof/>
          </w:rPr>
          <w:t>Specify H/S/NA attributes for IAB-DU frequency-domain resources, using the Rel-16 H/S/NA configuration structure as the baseline.</w:t>
        </w:r>
      </w:hyperlink>
    </w:p>
    <w:p w14:paraId="20426EAF" w14:textId="77777777" w:rsidR="005709C0" w:rsidRDefault="00A33CF4" w:rsidP="005709C0">
      <w:pPr>
        <w:pStyle w:val="TableofFigures"/>
        <w:tabs>
          <w:tab w:val="right" w:leader="dot" w:pos="9629"/>
        </w:tabs>
        <w:jc w:val="both"/>
        <w:rPr>
          <w:rFonts w:eastAsiaTheme="minorEastAsia"/>
          <w:b w:val="0"/>
          <w:noProof/>
          <w:lang w:val="sv-SE" w:eastAsia="sv-SE"/>
        </w:rPr>
      </w:pPr>
      <w:hyperlink w:anchor="_Toc54382824" w:history="1">
        <w:r w:rsidR="005709C0" w:rsidRPr="002C7378">
          <w:rPr>
            <w:rStyle w:val="Hyperlink"/>
            <w:noProof/>
          </w:rPr>
          <w:t>Proposal 4</w:t>
        </w:r>
        <w:r w:rsidR="005709C0">
          <w:rPr>
            <w:rFonts w:eastAsiaTheme="minorEastAsia"/>
            <w:b w:val="0"/>
            <w:noProof/>
            <w:lang w:val="sv-SE" w:eastAsia="sv-SE"/>
          </w:rPr>
          <w:tab/>
        </w:r>
        <w:r w:rsidR="005709C0" w:rsidRPr="002C7378">
          <w:rPr>
            <w:rStyle w:val="Hyperlink"/>
            <w:noProof/>
          </w:rPr>
          <w:t>Further study whether and how to restrict IAB-DU from accessing certain space-domain resources (e.g., in terms of link, beam or angle).</w:t>
        </w:r>
      </w:hyperlink>
    </w:p>
    <w:p w14:paraId="2F9CE573" w14:textId="77777777" w:rsidR="005709C0" w:rsidRDefault="00A33CF4" w:rsidP="005709C0">
      <w:pPr>
        <w:pStyle w:val="TableofFigures"/>
        <w:tabs>
          <w:tab w:val="right" w:leader="dot" w:pos="9629"/>
        </w:tabs>
        <w:jc w:val="both"/>
        <w:rPr>
          <w:rFonts w:eastAsiaTheme="minorEastAsia"/>
          <w:b w:val="0"/>
          <w:noProof/>
          <w:lang w:val="sv-SE" w:eastAsia="sv-SE"/>
        </w:rPr>
      </w:pPr>
      <w:hyperlink w:anchor="_Toc54382825" w:history="1">
        <w:r w:rsidR="005709C0" w:rsidRPr="002C7378">
          <w:rPr>
            <w:rStyle w:val="Hyperlink"/>
            <w:noProof/>
          </w:rPr>
          <w:t>Proposal 5</w:t>
        </w:r>
        <w:r w:rsidR="005709C0">
          <w:rPr>
            <w:rFonts w:eastAsiaTheme="minorEastAsia"/>
            <w:b w:val="0"/>
            <w:noProof/>
            <w:lang w:val="sv-SE" w:eastAsia="sv-SE"/>
          </w:rPr>
          <w:tab/>
        </w:r>
        <w:r w:rsidR="005709C0" w:rsidRPr="002C7378">
          <w:rPr>
            <w:rStyle w:val="Hyperlink"/>
            <w:noProof/>
          </w:rPr>
          <w:t xml:space="preserve">A default resource attribute for the IAB-DU H/S/NA resource configuration is </w:t>
        </w:r>
        <w:r w:rsidR="005709C0" w:rsidRPr="002C7378">
          <w:rPr>
            <w:rStyle w:val="Hyperlink"/>
            <w:i/>
            <w:noProof/>
          </w:rPr>
          <w:t>Soft</w:t>
        </w:r>
        <w:r w:rsidR="005709C0" w:rsidRPr="002C7378">
          <w:rPr>
            <w:rStyle w:val="Hyperlink"/>
            <w:noProof/>
          </w:rPr>
          <w:t>.</w:t>
        </w:r>
      </w:hyperlink>
    </w:p>
    <w:p w14:paraId="311B3742" w14:textId="77777777" w:rsidR="005709C0" w:rsidRDefault="00A33CF4" w:rsidP="005709C0">
      <w:pPr>
        <w:pStyle w:val="TableofFigures"/>
        <w:tabs>
          <w:tab w:val="right" w:leader="dot" w:pos="9629"/>
        </w:tabs>
        <w:jc w:val="both"/>
        <w:rPr>
          <w:rFonts w:eastAsiaTheme="minorEastAsia"/>
          <w:b w:val="0"/>
          <w:noProof/>
          <w:lang w:val="sv-SE" w:eastAsia="sv-SE"/>
        </w:rPr>
      </w:pPr>
      <w:hyperlink w:anchor="_Toc54382826" w:history="1">
        <w:r w:rsidR="005709C0" w:rsidRPr="002C7378">
          <w:rPr>
            <w:rStyle w:val="Hyperlink"/>
            <w:noProof/>
          </w:rPr>
          <w:t>Proposal 6</w:t>
        </w:r>
        <w:r w:rsidR="005709C0">
          <w:rPr>
            <w:rFonts w:eastAsiaTheme="minorEastAsia"/>
            <w:b w:val="0"/>
            <w:noProof/>
            <w:lang w:val="sv-SE" w:eastAsia="sv-SE"/>
          </w:rPr>
          <w:tab/>
        </w:r>
        <w:r w:rsidR="005709C0" w:rsidRPr="002C7378">
          <w:rPr>
            <w:rStyle w:val="Hyperlink"/>
            <w:noProof/>
          </w:rPr>
          <w:t xml:space="preserve">A frequency-domain DU resource assigned to cell-specific/semi-static signals/channels, such as SSB transmission, PRACH reception, periodic CSI-RS transmission, </w:t>
        </w:r>
        <w:r w:rsidR="005709C0" w:rsidRPr="002C7378">
          <w:rPr>
            <w:rStyle w:val="Hyperlink"/>
            <w:rFonts w:cs="Times"/>
            <w:noProof/>
          </w:rPr>
          <w:t>PDCCH transmission for Type0-PDCCH CSS sets</w:t>
        </w:r>
        <w:r w:rsidR="005709C0" w:rsidRPr="002C7378">
          <w:rPr>
            <w:rStyle w:val="Hyperlink"/>
            <w:noProof/>
          </w:rPr>
          <w:t xml:space="preserve"> and SR reception, is always treated as if it were configured as a Hard DU resource.</w:t>
        </w:r>
      </w:hyperlink>
    </w:p>
    <w:p w14:paraId="7C23A794" w14:textId="77777777" w:rsidR="005709C0" w:rsidRDefault="00A33CF4" w:rsidP="005709C0">
      <w:pPr>
        <w:pStyle w:val="TableofFigures"/>
        <w:tabs>
          <w:tab w:val="right" w:leader="dot" w:pos="9629"/>
        </w:tabs>
        <w:jc w:val="both"/>
        <w:rPr>
          <w:rFonts w:eastAsiaTheme="minorEastAsia"/>
          <w:b w:val="0"/>
          <w:noProof/>
          <w:lang w:val="sv-SE" w:eastAsia="sv-SE"/>
        </w:rPr>
      </w:pPr>
      <w:hyperlink w:anchor="_Toc54382827" w:history="1">
        <w:r w:rsidR="005709C0" w:rsidRPr="002C7378">
          <w:rPr>
            <w:rStyle w:val="Hyperlink"/>
            <w:noProof/>
          </w:rPr>
          <w:t>Proposal 7</w:t>
        </w:r>
        <w:r w:rsidR="005709C0">
          <w:rPr>
            <w:rFonts w:eastAsiaTheme="minorEastAsia"/>
            <w:b w:val="0"/>
            <w:noProof/>
            <w:lang w:val="sv-SE" w:eastAsia="sv-SE"/>
          </w:rPr>
          <w:tab/>
        </w:r>
        <w:r w:rsidR="005709C0" w:rsidRPr="002C7378">
          <w:rPr>
            <w:rStyle w:val="Hyperlink"/>
            <w:noProof/>
          </w:rPr>
          <w:t>Dedicated transmission directions in terms of DL/UL for cell-specific signals/channels should be maintained when configuring simultaneous operation at an IAB-node.</w:t>
        </w:r>
      </w:hyperlink>
    </w:p>
    <w:p w14:paraId="7EE0D957" w14:textId="77777777" w:rsidR="005709C0" w:rsidRDefault="00A33CF4" w:rsidP="005709C0">
      <w:pPr>
        <w:pStyle w:val="TableofFigures"/>
        <w:tabs>
          <w:tab w:val="right" w:leader="dot" w:pos="9629"/>
        </w:tabs>
        <w:jc w:val="both"/>
        <w:rPr>
          <w:rFonts w:eastAsiaTheme="minorEastAsia"/>
          <w:b w:val="0"/>
          <w:noProof/>
          <w:lang w:val="sv-SE" w:eastAsia="sv-SE"/>
        </w:rPr>
      </w:pPr>
      <w:hyperlink w:anchor="_Toc54382828" w:history="1">
        <w:r w:rsidR="005709C0" w:rsidRPr="002C7378">
          <w:rPr>
            <w:rStyle w:val="Hyperlink"/>
            <w:noProof/>
          </w:rPr>
          <w:t>Proposal 8</w:t>
        </w:r>
        <w:r w:rsidR="005709C0">
          <w:rPr>
            <w:rFonts w:eastAsiaTheme="minorEastAsia"/>
            <w:b w:val="0"/>
            <w:noProof/>
            <w:lang w:val="sv-SE" w:eastAsia="sv-SE"/>
          </w:rPr>
          <w:tab/>
        </w:r>
        <w:r w:rsidR="005709C0" w:rsidRPr="002C7378">
          <w:rPr>
            <w:rStyle w:val="Hyperlink"/>
            <w:noProof/>
          </w:rPr>
          <w:t>It is FFS of how to specify IAB-MT’s behavior if symbols 1) for SSB reception are configured as UL; 2) for PRACH transmission are configured as DL; 3) for CORESET for Type0-PDCCH CSS set reception are configured as UL.</w:t>
        </w:r>
      </w:hyperlink>
    </w:p>
    <w:p w14:paraId="12FED31F" w14:textId="77777777" w:rsidR="005709C0" w:rsidRDefault="00A33CF4" w:rsidP="005709C0">
      <w:pPr>
        <w:pStyle w:val="TableofFigures"/>
        <w:tabs>
          <w:tab w:val="right" w:leader="dot" w:pos="9629"/>
        </w:tabs>
        <w:jc w:val="both"/>
        <w:rPr>
          <w:rFonts w:eastAsiaTheme="minorEastAsia"/>
          <w:b w:val="0"/>
          <w:noProof/>
          <w:lang w:val="sv-SE" w:eastAsia="sv-SE"/>
        </w:rPr>
      </w:pPr>
      <w:hyperlink w:anchor="_Toc54382829" w:history="1">
        <w:r w:rsidR="005709C0" w:rsidRPr="002C7378">
          <w:rPr>
            <w:rStyle w:val="Hyperlink"/>
            <w:noProof/>
            <w:lang w:eastAsia="ja-JP"/>
          </w:rPr>
          <w:t>Proposal 9</w:t>
        </w:r>
        <w:r w:rsidR="005709C0">
          <w:rPr>
            <w:rFonts w:eastAsiaTheme="minorEastAsia"/>
            <w:b w:val="0"/>
            <w:noProof/>
            <w:lang w:val="sv-SE" w:eastAsia="sv-SE"/>
          </w:rPr>
          <w:tab/>
        </w:r>
        <w:r w:rsidR="005709C0" w:rsidRPr="002C7378">
          <w:rPr>
            <w:rStyle w:val="Hyperlink"/>
            <w:noProof/>
          </w:rPr>
          <w:t>The parent node is dynamically provided with changes of the IAB-node’s multiplexing-capability.</w:t>
        </w:r>
      </w:hyperlink>
    </w:p>
    <w:p w14:paraId="54F6111F" w14:textId="77777777" w:rsidR="005709C0" w:rsidRDefault="00A33CF4" w:rsidP="005709C0">
      <w:pPr>
        <w:pStyle w:val="TableofFigures"/>
        <w:tabs>
          <w:tab w:val="right" w:leader="dot" w:pos="9629"/>
        </w:tabs>
        <w:jc w:val="both"/>
        <w:rPr>
          <w:rFonts w:eastAsiaTheme="minorEastAsia"/>
          <w:b w:val="0"/>
          <w:noProof/>
          <w:lang w:val="sv-SE" w:eastAsia="sv-SE"/>
        </w:rPr>
      </w:pPr>
      <w:hyperlink w:anchor="_Toc54382830" w:history="1">
        <w:r w:rsidR="005709C0" w:rsidRPr="002C7378">
          <w:rPr>
            <w:rStyle w:val="Hyperlink"/>
            <w:noProof/>
          </w:rPr>
          <w:t>Proposal 10</w:t>
        </w:r>
        <w:r w:rsidR="005709C0">
          <w:rPr>
            <w:rFonts w:eastAsiaTheme="minorEastAsia"/>
            <w:b w:val="0"/>
            <w:noProof/>
            <w:lang w:val="sv-SE" w:eastAsia="sv-SE"/>
          </w:rPr>
          <w:tab/>
        </w:r>
        <w:r w:rsidR="005709C0" w:rsidRPr="002C7378">
          <w:rPr>
            <w:rStyle w:val="Hyperlink"/>
            <w:noProof/>
          </w:rPr>
          <w:t>Intra-carrier DC is not further studied for Rel-17 enhanced IAB.</w:t>
        </w:r>
      </w:hyperlink>
    </w:p>
    <w:p w14:paraId="72172EF6" w14:textId="7EFBA953" w:rsidR="00C01F33" w:rsidRPr="009F7FCE" w:rsidRDefault="006E1C82" w:rsidP="00931A92">
      <w:pPr>
        <w:pStyle w:val="BodyText"/>
        <w:jc w:val="both"/>
      </w:pPr>
      <w:r w:rsidRPr="009F7FCE">
        <w:fldChar w:fldCharType="end"/>
      </w:r>
      <w:r w:rsidRPr="009F7FCE">
        <w:t xml:space="preserve"> </w:t>
      </w:r>
    </w:p>
    <w:p w14:paraId="7E718661" w14:textId="77777777" w:rsidR="00F507D1" w:rsidRPr="009F7FCE" w:rsidRDefault="00F507D1" w:rsidP="00B15362">
      <w:pPr>
        <w:pStyle w:val="Heading1"/>
        <w:numPr>
          <w:ilvl w:val="0"/>
          <w:numId w:val="0"/>
        </w:numPr>
        <w:jc w:val="both"/>
        <w:rPr>
          <w:lang w:val="en-US"/>
        </w:rPr>
      </w:pPr>
      <w:bookmarkStart w:id="241" w:name="_In-sequence_SDU_delivery"/>
      <w:bookmarkEnd w:id="241"/>
      <w:r w:rsidRPr="009F7FCE">
        <w:rPr>
          <w:lang w:val="en-US"/>
        </w:rPr>
        <w:t>References</w:t>
      </w:r>
    </w:p>
    <w:p w14:paraId="6730AE47" w14:textId="77777777" w:rsidR="009B63B0" w:rsidRPr="009F7FCE" w:rsidRDefault="009B63B0" w:rsidP="00B15362">
      <w:pPr>
        <w:pStyle w:val="Reference"/>
        <w:jc w:val="both"/>
      </w:pPr>
      <w:bookmarkStart w:id="242" w:name="_Ref534962701"/>
      <w:r w:rsidRPr="009F7FCE">
        <w:rPr>
          <w:rFonts w:cs="Arial"/>
        </w:rPr>
        <w:t>RP-201293, New WID</w:t>
      </w:r>
      <w:r w:rsidRPr="009F7FCE">
        <w:t xml:space="preserve"> </w:t>
      </w:r>
      <w:r w:rsidRPr="009F7FCE">
        <w:rPr>
          <w:rFonts w:cs="Arial"/>
        </w:rPr>
        <w:t>on Enhancements to Integrated Access and Backhaul, Qualcomm, RAN #88e, June 2020.</w:t>
      </w:r>
      <w:bookmarkEnd w:id="242"/>
    </w:p>
    <w:p w14:paraId="292D7A1F" w14:textId="77777777" w:rsidR="004F3D31" w:rsidRPr="009F7FCE" w:rsidRDefault="004F3D31" w:rsidP="00B15362">
      <w:pPr>
        <w:pStyle w:val="Reference"/>
        <w:jc w:val="both"/>
      </w:pPr>
      <w:bookmarkStart w:id="243" w:name="_Ref54344685"/>
      <w:r w:rsidRPr="009F7FCE">
        <w:rPr>
          <w:rFonts w:cs="Arial"/>
        </w:rPr>
        <w:t>Chairman’s Notes, 3GPP TSG RAN WG1 Meeting #102e, August 2020.</w:t>
      </w:r>
      <w:bookmarkEnd w:id="243"/>
    </w:p>
    <w:p w14:paraId="40849B13" w14:textId="7C73028B" w:rsidR="004F3D31" w:rsidRPr="009F7FCE" w:rsidRDefault="004F3D31" w:rsidP="00B15362">
      <w:pPr>
        <w:pStyle w:val="Reference"/>
        <w:jc w:val="both"/>
      </w:pPr>
      <w:bookmarkStart w:id="244" w:name="_Ref54253737"/>
      <w:r w:rsidRPr="009F7FCE">
        <w:t>R1-</w:t>
      </w:r>
      <w:r w:rsidR="00D51161" w:rsidRPr="009F7FCE">
        <w:t>2009302</w:t>
      </w:r>
      <w:r w:rsidRPr="009F7FCE">
        <w:t>, “</w:t>
      </w:r>
      <w:r w:rsidR="00CA06C5" w:rsidRPr="009F7FCE">
        <w:t>T</w:t>
      </w:r>
      <w:r w:rsidR="00822628" w:rsidRPr="009F7FCE">
        <w:t>iming, CLI and power</w:t>
      </w:r>
      <w:r w:rsidR="00CA06C5" w:rsidRPr="009F7FCE">
        <w:t xml:space="preserve"> control</w:t>
      </w:r>
      <w:r w:rsidRPr="009F7FCE">
        <w:t xml:space="preserve"> in </w:t>
      </w:r>
      <w:r w:rsidR="00CA06C5" w:rsidRPr="009F7FCE">
        <w:t xml:space="preserve">enhanced </w:t>
      </w:r>
      <w:r w:rsidRPr="009F7FCE">
        <w:t>IAB”, Ericsson, RAN1 #103-e, October 2020.</w:t>
      </w:r>
      <w:bookmarkEnd w:id="244"/>
    </w:p>
    <w:p w14:paraId="3ACA5F93" w14:textId="77777777" w:rsidR="009B63B0" w:rsidRPr="009F7FCE" w:rsidRDefault="009B63B0" w:rsidP="00B15362">
      <w:pPr>
        <w:pStyle w:val="Reference"/>
        <w:jc w:val="both"/>
      </w:pPr>
      <w:bookmarkStart w:id="245" w:name="_Ref45782918"/>
      <w:r w:rsidRPr="009F7FCE">
        <w:t>3GPP TR 38.874, “NR Study on Integrated Access and Backhaul (Release 16)”, V16.0.0, March 2020.</w:t>
      </w:r>
      <w:bookmarkEnd w:id="245"/>
    </w:p>
    <w:p w14:paraId="656E95D0" w14:textId="30EA4EF3" w:rsidR="00BD4D5F" w:rsidRPr="009F7FCE" w:rsidRDefault="00BD4D5F" w:rsidP="00B15362">
      <w:pPr>
        <w:pStyle w:val="Reference"/>
        <w:jc w:val="both"/>
      </w:pPr>
      <w:bookmarkStart w:id="246" w:name="_Ref54281480"/>
      <w:r w:rsidRPr="009F7FCE">
        <w:t>R1-2005953, Measurement results for IAB multi-panel transmission and reception, AT&amp;T, 3GPP TSG RAN WG1 #102-e, August 2020</w:t>
      </w:r>
      <w:bookmarkEnd w:id="246"/>
    </w:p>
    <w:p w14:paraId="17ADBEFF" w14:textId="77777777" w:rsidR="009B63B0" w:rsidRPr="009F7FCE" w:rsidRDefault="009B63B0" w:rsidP="00B15362">
      <w:pPr>
        <w:pStyle w:val="Reference"/>
        <w:jc w:val="both"/>
      </w:pPr>
      <w:bookmarkStart w:id="247" w:name="_Ref476919366"/>
      <w:bookmarkStart w:id="248" w:name="_Ref454459437"/>
      <w:bookmarkStart w:id="249" w:name="_Ref174151459"/>
      <w:bookmarkStart w:id="250" w:name="_Ref189809556"/>
      <w:r w:rsidRPr="009F7FCE">
        <w:rPr>
          <w:rFonts w:cs="Arial"/>
        </w:rPr>
        <w:t>Chairman’s Notes, 3GPP TSG RAN WG1 Meeting #98bis, October 2019.</w:t>
      </w:r>
      <w:bookmarkEnd w:id="247"/>
      <w:bookmarkEnd w:id="248"/>
      <w:bookmarkEnd w:id="249"/>
      <w:bookmarkEnd w:id="250"/>
    </w:p>
    <w:p w14:paraId="7F850B02" w14:textId="77777777" w:rsidR="009B63B0" w:rsidRPr="009F7FCE" w:rsidRDefault="009B63B0" w:rsidP="00B15362">
      <w:pPr>
        <w:pStyle w:val="Reference"/>
        <w:jc w:val="both"/>
      </w:pPr>
      <w:bookmarkStart w:id="251" w:name="_Ref45550185"/>
      <w:r w:rsidRPr="009F7FCE">
        <w:rPr>
          <w:rFonts w:cs="Arial"/>
        </w:rPr>
        <w:t>Chairman’s Notes, 3GPP TSG RAN WG1 Meeting #99, November 2019.</w:t>
      </w:r>
      <w:bookmarkEnd w:id="251"/>
    </w:p>
    <w:p w14:paraId="2E045748" w14:textId="77777777" w:rsidR="009B63B0" w:rsidRPr="009F7FCE" w:rsidRDefault="009B63B0" w:rsidP="00B15362">
      <w:pPr>
        <w:pStyle w:val="Reference"/>
        <w:jc w:val="both"/>
      </w:pPr>
      <w:bookmarkStart w:id="252" w:name="_Ref46151739"/>
      <w:bookmarkStart w:id="253" w:name="_Hlk53488557"/>
      <w:r w:rsidRPr="009F7FCE">
        <w:t>3GPP TS 38.300, “NR and NG-RAN Overall Description Stage 2 (Release 16)”, V16.1.0, March 2020.</w:t>
      </w:r>
      <w:bookmarkEnd w:id="252"/>
    </w:p>
    <w:p w14:paraId="779537A6" w14:textId="0553B86D" w:rsidR="009B63B0" w:rsidRPr="009F7FCE" w:rsidRDefault="009B63B0" w:rsidP="00B15362">
      <w:pPr>
        <w:pStyle w:val="Reference"/>
        <w:jc w:val="both"/>
      </w:pPr>
      <w:bookmarkStart w:id="254" w:name="_Ref47686274"/>
      <w:bookmarkEnd w:id="253"/>
      <w:r w:rsidRPr="009F7FCE">
        <w:t>3GPP TS 37.340, “Evolved Universal Terrestrial Radio Access (E-UTRA) and NR Multi-connectivity,” Stage 2 (Release 16)”, V16.1.0, March 2020.</w:t>
      </w:r>
      <w:bookmarkEnd w:id="254"/>
    </w:p>
    <w:p w14:paraId="2CD75387" w14:textId="249F5DB7" w:rsidR="003A7EF3" w:rsidRPr="009F7FCE" w:rsidRDefault="00BF49B2" w:rsidP="00B15362">
      <w:pPr>
        <w:pStyle w:val="Reference"/>
        <w:jc w:val="both"/>
      </w:pPr>
      <w:bookmarkStart w:id="255" w:name="_Ref54188592"/>
      <w:r w:rsidRPr="009F7FCE">
        <w:t>R</w:t>
      </w:r>
      <w:r w:rsidR="00EA5D70">
        <w:t>P</w:t>
      </w:r>
      <w:r w:rsidRPr="009F7FCE">
        <w:t>-202083, Moderator’s summary for email discussion R17_IAB_scope, RAN #89e, September 2020.</w:t>
      </w:r>
      <w:bookmarkEnd w:id="255"/>
    </w:p>
    <w:sectPr w:rsidR="003A7EF3" w:rsidRPr="009F7FCE"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D1F66" w16cex:dateUtc="2020-10-23T07:22:00Z"/>
  <w16cex:commentExtensible w16cex:durableId="233D2070" w16cex:dateUtc="2020-10-23T07:27:00Z"/>
  <w16cex:commentExtensible w16cex:durableId="233D20EF" w16cex:dateUtc="2020-10-23T07:29:00Z"/>
  <w16cex:commentExtensible w16cex:durableId="233D5B1B" w16cex:dateUtc="2020-10-23T11:37:00Z"/>
  <w16cex:commentExtensible w16cex:durableId="233D2CAC" w16cex:dateUtc="2020-10-23T08:19:00Z"/>
  <w16cex:commentExtensible w16cex:durableId="233C4E2C" w16cex:dateUtc="2020-10-22T16:30:00Z"/>
  <w16cex:commentExtensible w16cex:durableId="233D2DB5" w16cex:dateUtc="2020-10-23T08:22:00Z"/>
  <w16cex:commentExtensible w16cex:durableId="233C4EB0" w16cex:dateUtc="2020-10-22T16:32:00Z"/>
  <w16cex:commentExtensible w16cex:durableId="233C5161" w16cex:dateUtc="2020-10-22T16:43:00Z"/>
  <w16cex:commentExtensible w16cex:durableId="233C520C" w16cex:dateUtc="2020-10-22T16:46:00Z"/>
  <w16cex:commentExtensible w16cex:durableId="233D2DCB" w16cex:dateUtc="2020-10-23T08:24:00Z"/>
  <w16cex:commentExtensible w16cex:durableId="233C5311" w16cex:dateUtc="2020-10-22T16:50:00Z"/>
  <w16cex:commentExtensible w16cex:durableId="233C6C01" w16cex:dateUtc="2020-10-22T18:37:00Z"/>
  <w16cex:commentExtensible w16cex:durableId="233D2E01" w16cex:dateUtc="2020-10-23T08:25:00Z"/>
  <w16cex:commentExtensible w16cex:durableId="233C7074" w16cex:dateUtc="2020-10-22T18:56:00Z"/>
  <w16cex:commentExtensible w16cex:durableId="232AD98D" w16cex:dateUtc="2020-10-09T10:43:00Z"/>
  <w16cex:commentExtensible w16cex:durableId="233C734C" w16cex:dateUtc="2020-10-22T19:08:00Z"/>
  <w16cex:commentExtensible w16cex:durableId="232ADA46" w16cex:dateUtc="2020-10-09T10:47:00Z"/>
  <w16cex:commentExtensible w16cex:durableId="233BF390" w16cex:dateUtc="2020-10-22T10:03:00Z"/>
  <w16cex:commentExtensible w16cex:durableId="233C742F" w16cex:dateUtc="2020-10-22T19:12:00Z"/>
  <w16cex:commentExtensible w16cex:durableId="232AD728" w16cex:dateUtc="2020-10-09T10:33:00Z"/>
  <w16cex:commentExtensible w16cex:durableId="233C74D7" w16cex:dateUtc="2020-10-22T19:15:00Z"/>
  <w16cex:commentExtensible w16cex:durableId="233C7750" w16cex:dateUtc="2020-10-22T19:25:00Z"/>
  <w16cex:commentExtensible w16cex:durableId="233C782A" w16cex:dateUtc="2020-10-22T19:29:00Z"/>
  <w16cex:commentExtensible w16cex:durableId="233C7870" w16cex:dateUtc="2020-10-22T19:30:00Z"/>
  <w16cex:commentExtensible w16cex:durableId="233ABA0B" w16cex:dateUtc="2020-10-21T11:45:00Z"/>
  <w16cex:commentExtensible w16cex:durableId="233D5AC2" w16cex:dateUtc="2020-10-23T11:3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7CDBBE" w14:textId="77777777" w:rsidR="00025B56" w:rsidRDefault="00025B56" w:rsidP="00A575AC">
      <w:r>
        <w:separator/>
      </w:r>
    </w:p>
    <w:p w14:paraId="2906E83C" w14:textId="77777777" w:rsidR="00025B56" w:rsidRDefault="00025B56" w:rsidP="00A575AC"/>
  </w:endnote>
  <w:endnote w:type="continuationSeparator" w:id="0">
    <w:p w14:paraId="1340351A" w14:textId="77777777" w:rsidR="00025B56" w:rsidRDefault="00025B56" w:rsidP="00A575AC">
      <w:r>
        <w:continuationSeparator/>
      </w:r>
    </w:p>
    <w:p w14:paraId="2141EE27" w14:textId="77777777" w:rsidR="00025B56" w:rsidRDefault="00025B56" w:rsidP="00A575AC"/>
  </w:endnote>
  <w:endnote w:type="continuationNotice" w:id="1">
    <w:p w14:paraId="11C391A7" w14:textId="77777777" w:rsidR="00025B56" w:rsidRDefault="00025B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auto"/>
    <w:pitch w:val="variable"/>
    <w:sig w:usb0="E00002FF" w:usb1="5000205A"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EBB2F" w14:textId="77777777" w:rsidR="00025B56" w:rsidRDefault="00025B5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28569C" w14:textId="77777777" w:rsidR="00025B56" w:rsidRDefault="00025B56" w:rsidP="00A575AC">
      <w:r>
        <w:separator/>
      </w:r>
    </w:p>
    <w:p w14:paraId="7A8F8E9D" w14:textId="77777777" w:rsidR="00025B56" w:rsidRDefault="00025B56" w:rsidP="00A575AC"/>
  </w:footnote>
  <w:footnote w:type="continuationSeparator" w:id="0">
    <w:p w14:paraId="0853E88E" w14:textId="77777777" w:rsidR="00025B56" w:rsidRDefault="00025B56" w:rsidP="00A575AC">
      <w:r>
        <w:continuationSeparator/>
      </w:r>
    </w:p>
    <w:p w14:paraId="160D39EC" w14:textId="77777777" w:rsidR="00025B56" w:rsidRDefault="00025B56" w:rsidP="00A575AC"/>
  </w:footnote>
  <w:footnote w:type="continuationNotice" w:id="1">
    <w:p w14:paraId="3C228DC7" w14:textId="77777777" w:rsidR="00025B56" w:rsidRDefault="00025B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2A6704" w14:textId="77777777" w:rsidR="00025B56" w:rsidRDefault="00025B56" w:rsidP="00A575A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20D9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F837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C45CDA"/>
    <w:multiLevelType w:val="hybridMultilevel"/>
    <w:tmpl w:val="3C225D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D0B5EE4"/>
    <w:multiLevelType w:val="hybridMultilevel"/>
    <w:tmpl w:val="11901FCE"/>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8700050"/>
    <w:multiLevelType w:val="hybridMultilevel"/>
    <w:tmpl w:val="57DA9B4C"/>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9E82726"/>
    <w:multiLevelType w:val="hybridMultilevel"/>
    <w:tmpl w:val="7714DB0E"/>
    <w:lvl w:ilvl="0" w:tplc="040C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AB0EBB64"/>
    <w:lvl w:ilvl="0" w:tplc="6E6EDF4A">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84A0DAA"/>
    <w:multiLevelType w:val="multilevel"/>
    <w:tmpl w:val="C282955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 w15:restartNumberingAfterBreak="0">
    <w:nsid w:val="4B663DF0"/>
    <w:multiLevelType w:val="hybridMultilevel"/>
    <w:tmpl w:val="EEC8334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FA0FD6"/>
    <w:multiLevelType w:val="hybridMultilevel"/>
    <w:tmpl w:val="778234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886997"/>
    <w:multiLevelType w:val="hybridMultilevel"/>
    <w:tmpl w:val="337CA4E8"/>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start w:val="1"/>
      <w:numFmt w:val="bullet"/>
      <w:lvlText w:val=""/>
      <w:lvlJc w:val="left"/>
      <w:pPr>
        <w:ind w:left="2207" w:hanging="360"/>
      </w:pPr>
      <w:rPr>
        <w:rFonts w:ascii="Wingdings" w:hAnsi="Wingdings" w:hint="default"/>
      </w:rPr>
    </w:lvl>
    <w:lvl w:ilvl="3" w:tplc="04090001">
      <w:start w:val="1"/>
      <w:numFmt w:val="bullet"/>
      <w:lvlText w:val=""/>
      <w:lvlJc w:val="left"/>
      <w:pPr>
        <w:ind w:left="2927" w:hanging="360"/>
      </w:pPr>
      <w:rPr>
        <w:rFonts w:ascii="Symbol" w:hAnsi="Symbol" w:hint="default"/>
      </w:rPr>
    </w:lvl>
    <w:lvl w:ilvl="4" w:tplc="04090003">
      <w:start w:val="1"/>
      <w:numFmt w:val="bullet"/>
      <w:lvlText w:val="o"/>
      <w:lvlJc w:val="left"/>
      <w:pPr>
        <w:ind w:left="3647" w:hanging="360"/>
      </w:pPr>
      <w:rPr>
        <w:rFonts w:ascii="Courier New" w:hAnsi="Courier New" w:cs="Courier New" w:hint="default"/>
      </w:rPr>
    </w:lvl>
    <w:lvl w:ilvl="5" w:tplc="04090005">
      <w:start w:val="1"/>
      <w:numFmt w:val="bullet"/>
      <w:lvlText w:val=""/>
      <w:lvlJc w:val="left"/>
      <w:pPr>
        <w:ind w:left="4367" w:hanging="360"/>
      </w:pPr>
      <w:rPr>
        <w:rFonts w:ascii="Wingdings" w:hAnsi="Wingdings" w:hint="default"/>
      </w:rPr>
    </w:lvl>
    <w:lvl w:ilvl="6" w:tplc="04090001">
      <w:start w:val="1"/>
      <w:numFmt w:val="bullet"/>
      <w:lvlText w:val=""/>
      <w:lvlJc w:val="left"/>
      <w:pPr>
        <w:ind w:left="5087" w:hanging="360"/>
      </w:pPr>
      <w:rPr>
        <w:rFonts w:ascii="Symbol" w:hAnsi="Symbol" w:hint="default"/>
      </w:rPr>
    </w:lvl>
    <w:lvl w:ilvl="7" w:tplc="04090003">
      <w:start w:val="1"/>
      <w:numFmt w:val="bullet"/>
      <w:lvlText w:val="o"/>
      <w:lvlJc w:val="left"/>
      <w:pPr>
        <w:ind w:left="5807" w:hanging="360"/>
      </w:pPr>
      <w:rPr>
        <w:rFonts w:ascii="Courier New" w:hAnsi="Courier New" w:cs="Courier New" w:hint="default"/>
      </w:rPr>
    </w:lvl>
    <w:lvl w:ilvl="8" w:tplc="04090005">
      <w:start w:val="1"/>
      <w:numFmt w:val="bullet"/>
      <w:lvlText w:val=""/>
      <w:lvlJc w:val="left"/>
      <w:pPr>
        <w:ind w:left="6527" w:hanging="360"/>
      </w:pPr>
      <w:rPr>
        <w:rFonts w:ascii="Wingdings" w:hAnsi="Wingdings" w:hint="default"/>
      </w:rPr>
    </w:lvl>
  </w:abstractNum>
  <w:abstractNum w:abstractNumId="26" w15:restartNumberingAfterBreak="0">
    <w:nsid w:val="5755243B"/>
    <w:multiLevelType w:val="hybridMultilevel"/>
    <w:tmpl w:val="8570902C"/>
    <w:lvl w:ilvl="0" w:tplc="B892650C">
      <w:start w:val="1"/>
      <w:numFmt w:val="bullet"/>
      <w:lvlText w:val="•"/>
      <w:lvlJc w:val="left"/>
      <w:pPr>
        <w:ind w:left="720" w:hanging="360"/>
      </w:pPr>
      <w:rPr>
        <w:rFonts w:ascii="Arial" w:hAnsi="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5C8362B7"/>
    <w:multiLevelType w:val="multilevel"/>
    <w:tmpl w:val="041D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0" w15:restartNumberingAfterBreak="0">
    <w:nsid w:val="64124D6A"/>
    <w:multiLevelType w:val="multilevel"/>
    <w:tmpl w:val="4942F35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2"/>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1" w15:restartNumberingAfterBreak="0">
    <w:nsid w:val="6A56434E"/>
    <w:multiLevelType w:val="hybridMultilevel"/>
    <w:tmpl w:val="372851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4"/>
  </w:num>
  <w:num w:numId="2">
    <w:abstractNumId w:val="21"/>
  </w:num>
  <w:num w:numId="3">
    <w:abstractNumId w:val="15"/>
  </w:num>
  <w:num w:numId="4">
    <w:abstractNumId w:val="16"/>
  </w:num>
  <w:num w:numId="5">
    <w:abstractNumId w:val="11"/>
  </w:num>
  <w:num w:numId="6">
    <w:abstractNumId w:val="18"/>
  </w:num>
  <w:num w:numId="7">
    <w:abstractNumId w:val="27"/>
  </w:num>
  <w:num w:numId="8">
    <w:abstractNumId w:val="12"/>
  </w:num>
  <w:num w:numId="9">
    <w:abstractNumId w:val="10"/>
  </w:num>
  <w:num w:numId="10">
    <w:abstractNumId w:val="2"/>
  </w:num>
  <w:num w:numId="11">
    <w:abstractNumId w:val="1"/>
  </w:num>
  <w:num w:numId="12">
    <w:abstractNumId w:val="0"/>
  </w:num>
  <w:num w:numId="13">
    <w:abstractNumId w:val="23"/>
  </w:num>
  <w:num w:numId="14">
    <w:abstractNumId w:val="24"/>
  </w:num>
  <w:num w:numId="15">
    <w:abstractNumId w:val="17"/>
  </w:num>
  <w:num w:numId="16">
    <w:abstractNumId w:val="28"/>
  </w:num>
  <w:num w:numId="17">
    <w:abstractNumId w:val="7"/>
  </w:num>
  <w:num w:numId="18">
    <w:abstractNumId w:val="8"/>
  </w:num>
  <w:num w:numId="19">
    <w:abstractNumId w:val="5"/>
  </w:num>
  <w:num w:numId="20">
    <w:abstractNumId w:val="33"/>
  </w:num>
  <w:num w:numId="21">
    <w:abstractNumId w:val="13"/>
  </w:num>
  <w:num w:numId="22">
    <w:abstractNumId w:val="32"/>
  </w:num>
  <w:num w:numId="23">
    <w:abstractNumId w:val="29"/>
  </w:num>
  <w:num w:numId="24">
    <w:abstractNumId w:val="20"/>
  </w:num>
  <w:num w:numId="25">
    <w:abstractNumId w:val="26"/>
  </w:num>
  <w:num w:numId="26">
    <w:abstractNumId w:val="14"/>
  </w:num>
  <w:num w:numId="27">
    <w:abstractNumId w:val="25"/>
  </w:num>
  <w:num w:numId="28">
    <w:abstractNumId w:val="19"/>
  </w:num>
  <w:num w:numId="29">
    <w:abstractNumId w:val="30"/>
  </w:num>
  <w:num w:numId="30">
    <w:abstractNumId w:val="22"/>
  </w:num>
  <w:num w:numId="31">
    <w:abstractNumId w:val="3"/>
  </w:num>
  <w:num w:numId="32">
    <w:abstractNumId w:val="9"/>
  </w:num>
  <w:num w:numId="33">
    <w:abstractNumId w:val="31"/>
  </w:num>
  <w:num w:numId="34">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54A"/>
    <w:rsid w:val="000006E1"/>
    <w:rsid w:val="00002A37"/>
    <w:rsid w:val="0000564C"/>
    <w:rsid w:val="00005DFC"/>
    <w:rsid w:val="00006163"/>
    <w:rsid w:val="00006446"/>
    <w:rsid w:val="00006896"/>
    <w:rsid w:val="00007675"/>
    <w:rsid w:val="00007CDC"/>
    <w:rsid w:val="00010772"/>
    <w:rsid w:val="00011B28"/>
    <w:rsid w:val="00012759"/>
    <w:rsid w:val="000154B3"/>
    <w:rsid w:val="00015D15"/>
    <w:rsid w:val="0002050A"/>
    <w:rsid w:val="00022777"/>
    <w:rsid w:val="00025250"/>
    <w:rsid w:val="0002564D"/>
    <w:rsid w:val="00025B56"/>
    <w:rsid w:val="00025ECA"/>
    <w:rsid w:val="00026E17"/>
    <w:rsid w:val="00027329"/>
    <w:rsid w:val="000325B8"/>
    <w:rsid w:val="00032E08"/>
    <w:rsid w:val="00033A37"/>
    <w:rsid w:val="00034C15"/>
    <w:rsid w:val="000353C5"/>
    <w:rsid w:val="00036BA1"/>
    <w:rsid w:val="000422E2"/>
    <w:rsid w:val="00042716"/>
    <w:rsid w:val="00042F22"/>
    <w:rsid w:val="00043398"/>
    <w:rsid w:val="000439B2"/>
    <w:rsid w:val="000444EF"/>
    <w:rsid w:val="00045160"/>
    <w:rsid w:val="00046B00"/>
    <w:rsid w:val="00051842"/>
    <w:rsid w:val="00052A07"/>
    <w:rsid w:val="00052C11"/>
    <w:rsid w:val="0005319A"/>
    <w:rsid w:val="000534E3"/>
    <w:rsid w:val="000540CC"/>
    <w:rsid w:val="00055BFD"/>
    <w:rsid w:val="0005606A"/>
    <w:rsid w:val="00056D25"/>
    <w:rsid w:val="00057117"/>
    <w:rsid w:val="00057262"/>
    <w:rsid w:val="00060857"/>
    <w:rsid w:val="000616E7"/>
    <w:rsid w:val="0006487E"/>
    <w:rsid w:val="00064FE0"/>
    <w:rsid w:val="00065E1A"/>
    <w:rsid w:val="00067143"/>
    <w:rsid w:val="0006731F"/>
    <w:rsid w:val="00074394"/>
    <w:rsid w:val="000753FF"/>
    <w:rsid w:val="00076E97"/>
    <w:rsid w:val="00076F75"/>
    <w:rsid w:val="00077995"/>
    <w:rsid w:val="00077E5F"/>
    <w:rsid w:val="0008036A"/>
    <w:rsid w:val="0008078C"/>
    <w:rsid w:val="00080D38"/>
    <w:rsid w:val="00081AE6"/>
    <w:rsid w:val="00083CB3"/>
    <w:rsid w:val="000855EB"/>
    <w:rsid w:val="00085B52"/>
    <w:rsid w:val="000866F2"/>
    <w:rsid w:val="0009009F"/>
    <w:rsid w:val="0009057B"/>
    <w:rsid w:val="000907BD"/>
    <w:rsid w:val="000909B3"/>
    <w:rsid w:val="00090A6F"/>
    <w:rsid w:val="00091557"/>
    <w:rsid w:val="00092056"/>
    <w:rsid w:val="00092196"/>
    <w:rsid w:val="000924C1"/>
    <w:rsid w:val="000924F0"/>
    <w:rsid w:val="000925CB"/>
    <w:rsid w:val="00093474"/>
    <w:rsid w:val="0009510F"/>
    <w:rsid w:val="00095D6A"/>
    <w:rsid w:val="000A06E5"/>
    <w:rsid w:val="000A0F07"/>
    <w:rsid w:val="000A1B7B"/>
    <w:rsid w:val="000A442B"/>
    <w:rsid w:val="000A56F2"/>
    <w:rsid w:val="000A5B68"/>
    <w:rsid w:val="000A7446"/>
    <w:rsid w:val="000B212C"/>
    <w:rsid w:val="000B2719"/>
    <w:rsid w:val="000B3A8F"/>
    <w:rsid w:val="000B4AB9"/>
    <w:rsid w:val="000B58C3"/>
    <w:rsid w:val="000B61E9"/>
    <w:rsid w:val="000C0BB9"/>
    <w:rsid w:val="000C1591"/>
    <w:rsid w:val="000C165A"/>
    <w:rsid w:val="000C1889"/>
    <w:rsid w:val="000C2E19"/>
    <w:rsid w:val="000C3D77"/>
    <w:rsid w:val="000D0D07"/>
    <w:rsid w:val="000D0FEF"/>
    <w:rsid w:val="000D2F86"/>
    <w:rsid w:val="000D318E"/>
    <w:rsid w:val="000D340B"/>
    <w:rsid w:val="000D4797"/>
    <w:rsid w:val="000E0527"/>
    <w:rsid w:val="000E0692"/>
    <w:rsid w:val="000E10F8"/>
    <w:rsid w:val="000E1E92"/>
    <w:rsid w:val="000E38C5"/>
    <w:rsid w:val="000E399C"/>
    <w:rsid w:val="000E686B"/>
    <w:rsid w:val="000E7E2B"/>
    <w:rsid w:val="000F06D6"/>
    <w:rsid w:val="000F0EB1"/>
    <w:rsid w:val="000F1106"/>
    <w:rsid w:val="000F13F9"/>
    <w:rsid w:val="000F2293"/>
    <w:rsid w:val="000F3BE9"/>
    <w:rsid w:val="000F3F6C"/>
    <w:rsid w:val="000F4528"/>
    <w:rsid w:val="000F4AC3"/>
    <w:rsid w:val="000F4ED5"/>
    <w:rsid w:val="000F5EDF"/>
    <w:rsid w:val="000F658C"/>
    <w:rsid w:val="000F678C"/>
    <w:rsid w:val="000F6DF3"/>
    <w:rsid w:val="001005FF"/>
    <w:rsid w:val="00105411"/>
    <w:rsid w:val="001062FB"/>
    <w:rsid w:val="001063E6"/>
    <w:rsid w:val="00107135"/>
    <w:rsid w:val="00113704"/>
    <w:rsid w:val="00113CF4"/>
    <w:rsid w:val="001153EA"/>
    <w:rsid w:val="00115643"/>
    <w:rsid w:val="00115B65"/>
    <w:rsid w:val="00116543"/>
    <w:rsid w:val="00116765"/>
    <w:rsid w:val="00117ECB"/>
    <w:rsid w:val="00120E43"/>
    <w:rsid w:val="0012173D"/>
    <w:rsid w:val="001219F5"/>
    <w:rsid w:val="00121A20"/>
    <w:rsid w:val="00122081"/>
    <w:rsid w:val="0012377F"/>
    <w:rsid w:val="00123AF4"/>
    <w:rsid w:val="001241EA"/>
    <w:rsid w:val="00124314"/>
    <w:rsid w:val="00124DA4"/>
    <w:rsid w:val="00126841"/>
    <w:rsid w:val="00126B4A"/>
    <w:rsid w:val="00126C1F"/>
    <w:rsid w:val="00131AD4"/>
    <w:rsid w:val="0013217B"/>
    <w:rsid w:val="00132FD0"/>
    <w:rsid w:val="001344C0"/>
    <w:rsid w:val="001346FA"/>
    <w:rsid w:val="001350A5"/>
    <w:rsid w:val="00135252"/>
    <w:rsid w:val="00136A9D"/>
    <w:rsid w:val="001371E3"/>
    <w:rsid w:val="00137AB5"/>
    <w:rsid w:val="00137F0B"/>
    <w:rsid w:val="00142039"/>
    <w:rsid w:val="00142A8B"/>
    <w:rsid w:val="0014377D"/>
    <w:rsid w:val="00144EF6"/>
    <w:rsid w:val="001450ED"/>
    <w:rsid w:val="00147973"/>
    <w:rsid w:val="001508DA"/>
    <w:rsid w:val="00151063"/>
    <w:rsid w:val="00151E23"/>
    <w:rsid w:val="001523DF"/>
    <w:rsid w:val="001525EB"/>
    <w:rsid w:val="001526E0"/>
    <w:rsid w:val="001551B5"/>
    <w:rsid w:val="0015522E"/>
    <w:rsid w:val="00155C54"/>
    <w:rsid w:val="00155E07"/>
    <w:rsid w:val="001647AA"/>
    <w:rsid w:val="001658A3"/>
    <w:rsid w:val="001659C1"/>
    <w:rsid w:val="00165C86"/>
    <w:rsid w:val="001709D4"/>
    <w:rsid w:val="0017168D"/>
    <w:rsid w:val="00173019"/>
    <w:rsid w:val="00173A8E"/>
    <w:rsid w:val="00173EA6"/>
    <w:rsid w:val="00174446"/>
    <w:rsid w:val="0017502C"/>
    <w:rsid w:val="001758D0"/>
    <w:rsid w:val="0017669E"/>
    <w:rsid w:val="0018143F"/>
    <w:rsid w:val="0018190F"/>
    <w:rsid w:val="00181FF8"/>
    <w:rsid w:val="00182FE6"/>
    <w:rsid w:val="001835CB"/>
    <w:rsid w:val="00184078"/>
    <w:rsid w:val="001847E4"/>
    <w:rsid w:val="00190AC1"/>
    <w:rsid w:val="00190CE0"/>
    <w:rsid w:val="00191200"/>
    <w:rsid w:val="0019203E"/>
    <w:rsid w:val="001923C1"/>
    <w:rsid w:val="00192DCC"/>
    <w:rsid w:val="0019341A"/>
    <w:rsid w:val="0019535D"/>
    <w:rsid w:val="00197DF9"/>
    <w:rsid w:val="001A1987"/>
    <w:rsid w:val="001A1CE7"/>
    <w:rsid w:val="001A2564"/>
    <w:rsid w:val="001A2610"/>
    <w:rsid w:val="001A3F40"/>
    <w:rsid w:val="001A496C"/>
    <w:rsid w:val="001A6173"/>
    <w:rsid w:val="001A6A2D"/>
    <w:rsid w:val="001A6CBA"/>
    <w:rsid w:val="001A72EF"/>
    <w:rsid w:val="001A7516"/>
    <w:rsid w:val="001B0D97"/>
    <w:rsid w:val="001B5A5D"/>
    <w:rsid w:val="001C1B51"/>
    <w:rsid w:val="001C1CE5"/>
    <w:rsid w:val="001C3206"/>
    <w:rsid w:val="001C3D2A"/>
    <w:rsid w:val="001C4573"/>
    <w:rsid w:val="001D2173"/>
    <w:rsid w:val="001D2D60"/>
    <w:rsid w:val="001D47FD"/>
    <w:rsid w:val="001D4AD0"/>
    <w:rsid w:val="001D50A3"/>
    <w:rsid w:val="001D51BA"/>
    <w:rsid w:val="001D53E7"/>
    <w:rsid w:val="001D553D"/>
    <w:rsid w:val="001D6342"/>
    <w:rsid w:val="001D6D53"/>
    <w:rsid w:val="001E4F96"/>
    <w:rsid w:val="001E58E2"/>
    <w:rsid w:val="001E5964"/>
    <w:rsid w:val="001E5FEF"/>
    <w:rsid w:val="001E7AED"/>
    <w:rsid w:val="001F3916"/>
    <w:rsid w:val="001F4E74"/>
    <w:rsid w:val="001F5069"/>
    <w:rsid w:val="001F54C5"/>
    <w:rsid w:val="001F662C"/>
    <w:rsid w:val="001F7074"/>
    <w:rsid w:val="00200490"/>
    <w:rsid w:val="00201F3A"/>
    <w:rsid w:val="00202834"/>
    <w:rsid w:val="00203597"/>
    <w:rsid w:val="00203BC6"/>
    <w:rsid w:val="00203F96"/>
    <w:rsid w:val="002069B2"/>
    <w:rsid w:val="00207FA3"/>
    <w:rsid w:val="00213184"/>
    <w:rsid w:val="00214DA8"/>
    <w:rsid w:val="002153CC"/>
    <w:rsid w:val="00215423"/>
    <w:rsid w:val="002158FA"/>
    <w:rsid w:val="002165B8"/>
    <w:rsid w:val="00220600"/>
    <w:rsid w:val="0022064E"/>
    <w:rsid w:val="00221490"/>
    <w:rsid w:val="002224DB"/>
    <w:rsid w:val="00222E33"/>
    <w:rsid w:val="00223FCB"/>
    <w:rsid w:val="00224595"/>
    <w:rsid w:val="0022526B"/>
    <w:rsid w:val="002252C3"/>
    <w:rsid w:val="00225C54"/>
    <w:rsid w:val="00230765"/>
    <w:rsid w:val="00230D18"/>
    <w:rsid w:val="002319E4"/>
    <w:rsid w:val="0023294A"/>
    <w:rsid w:val="002329B9"/>
    <w:rsid w:val="00235632"/>
    <w:rsid w:val="00235872"/>
    <w:rsid w:val="0023677C"/>
    <w:rsid w:val="0023683F"/>
    <w:rsid w:val="00237204"/>
    <w:rsid w:val="00240F55"/>
    <w:rsid w:val="00241559"/>
    <w:rsid w:val="00242EBF"/>
    <w:rsid w:val="00243409"/>
    <w:rsid w:val="002435B3"/>
    <w:rsid w:val="002458EB"/>
    <w:rsid w:val="00246828"/>
    <w:rsid w:val="00247840"/>
    <w:rsid w:val="00247A96"/>
    <w:rsid w:val="002500C8"/>
    <w:rsid w:val="00252F78"/>
    <w:rsid w:val="00252F7E"/>
    <w:rsid w:val="0025322A"/>
    <w:rsid w:val="00253FD6"/>
    <w:rsid w:val="00254294"/>
    <w:rsid w:val="00254757"/>
    <w:rsid w:val="00254F65"/>
    <w:rsid w:val="0025613C"/>
    <w:rsid w:val="00257543"/>
    <w:rsid w:val="00257B7F"/>
    <w:rsid w:val="002613DD"/>
    <w:rsid w:val="002617E7"/>
    <w:rsid w:val="00263863"/>
    <w:rsid w:val="00264228"/>
    <w:rsid w:val="00264334"/>
    <w:rsid w:val="0026473E"/>
    <w:rsid w:val="002654D0"/>
    <w:rsid w:val="002660AE"/>
    <w:rsid w:val="00266214"/>
    <w:rsid w:val="00267C83"/>
    <w:rsid w:val="0027144F"/>
    <w:rsid w:val="00271813"/>
    <w:rsid w:val="00271F3A"/>
    <w:rsid w:val="00273278"/>
    <w:rsid w:val="002734FB"/>
    <w:rsid w:val="002737F4"/>
    <w:rsid w:val="0027440F"/>
    <w:rsid w:val="002746FD"/>
    <w:rsid w:val="00274A0B"/>
    <w:rsid w:val="002754F9"/>
    <w:rsid w:val="00277F05"/>
    <w:rsid w:val="002805F5"/>
    <w:rsid w:val="00280751"/>
    <w:rsid w:val="00282016"/>
    <w:rsid w:val="00282404"/>
    <w:rsid w:val="0028280A"/>
    <w:rsid w:val="0028392F"/>
    <w:rsid w:val="00286755"/>
    <w:rsid w:val="00286ACD"/>
    <w:rsid w:val="00287838"/>
    <w:rsid w:val="0028787D"/>
    <w:rsid w:val="00287931"/>
    <w:rsid w:val="002901A5"/>
    <w:rsid w:val="002907B5"/>
    <w:rsid w:val="00291120"/>
    <w:rsid w:val="00292EB7"/>
    <w:rsid w:val="002940B0"/>
    <w:rsid w:val="002960AE"/>
    <w:rsid w:val="00296227"/>
    <w:rsid w:val="00296F44"/>
    <w:rsid w:val="0029777D"/>
    <w:rsid w:val="002977B6"/>
    <w:rsid w:val="002A055E"/>
    <w:rsid w:val="002A1D4E"/>
    <w:rsid w:val="002A248F"/>
    <w:rsid w:val="002A2869"/>
    <w:rsid w:val="002A712C"/>
    <w:rsid w:val="002B24D6"/>
    <w:rsid w:val="002B2621"/>
    <w:rsid w:val="002B357B"/>
    <w:rsid w:val="002B45E3"/>
    <w:rsid w:val="002B5E09"/>
    <w:rsid w:val="002C01E9"/>
    <w:rsid w:val="002C0309"/>
    <w:rsid w:val="002C41E6"/>
    <w:rsid w:val="002C74F5"/>
    <w:rsid w:val="002C7700"/>
    <w:rsid w:val="002D071A"/>
    <w:rsid w:val="002D3092"/>
    <w:rsid w:val="002D34B2"/>
    <w:rsid w:val="002D48B0"/>
    <w:rsid w:val="002D5381"/>
    <w:rsid w:val="002D5B37"/>
    <w:rsid w:val="002D5DEE"/>
    <w:rsid w:val="002D7637"/>
    <w:rsid w:val="002E17F2"/>
    <w:rsid w:val="002E2A84"/>
    <w:rsid w:val="002E4818"/>
    <w:rsid w:val="002E49D5"/>
    <w:rsid w:val="002E4D9B"/>
    <w:rsid w:val="002E7CAE"/>
    <w:rsid w:val="002F1914"/>
    <w:rsid w:val="002F1C84"/>
    <w:rsid w:val="002F224F"/>
    <w:rsid w:val="002F2771"/>
    <w:rsid w:val="002F2804"/>
    <w:rsid w:val="002F2C2E"/>
    <w:rsid w:val="002F37A9"/>
    <w:rsid w:val="002F466C"/>
    <w:rsid w:val="002F49D1"/>
    <w:rsid w:val="00301CE6"/>
    <w:rsid w:val="00302341"/>
    <w:rsid w:val="0030256B"/>
    <w:rsid w:val="003029D1"/>
    <w:rsid w:val="003033FC"/>
    <w:rsid w:val="00303BB5"/>
    <w:rsid w:val="0030501F"/>
    <w:rsid w:val="00305BD7"/>
    <w:rsid w:val="00307BA1"/>
    <w:rsid w:val="00311702"/>
    <w:rsid w:val="00311982"/>
    <w:rsid w:val="00311E82"/>
    <w:rsid w:val="0031258B"/>
    <w:rsid w:val="003125FB"/>
    <w:rsid w:val="00313FD6"/>
    <w:rsid w:val="0031406B"/>
    <w:rsid w:val="003143BD"/>
    <w:rsid w:val="00314E68"/>
    <w:rsid w:val="00315363"/>
    <w:rsid w:val="003158FA"/>
    <w:rsid w:val="00315AB7"/>
    <w:rsid w:val="003170F1"/>
    <w:rsid w:val="003203ED"/>
    <w:rsid w:val="00322C9F"/>
    <w:rsid w:val="00324D23"/>
    <w:rsid w:val="00325F04"/>
    <w:rsid w:val="003306DB"/>
    <w:rsid w:val="00331751"/>
    <w:rsid w:val="00332529"/>
    <w:rsid w:val="00333267"/>
    <w:rsid w:val="00333CEA"/>
    <w:rsid w:val="00334579"/>
    <w:rsid w:val="003355C9"/>
    <w:rsid w:val="00335858"/>
    <w:rsid w:val="00336BDA"/>
    <w:rsid w:val="0033721F"/>
    <w:rsid w:val="003421EE"/>
    <w:rsid w:val="00342452"/>
    <w:rsid w:val="00342BD7"/>
    <w:rsid w:val="00346350"/>
    <w:rsid w:val="00346DB5"/>
    <w:rsid w:val="003477B1"/>
    <w:rsid w:val="00355D3C"/>
    <w:rsid w:val="003567AC"/>
    <w:rsid w:val="00357380"/>
    <w:rsid w:val="003602D9"/>
    <w:rsid w:val="003604CE"/>
    <w:rsid w:val="00363AF1"/>
    <w:rsid w:val="0036595B"/>
    <w:rsid w:val="0037003D"/>
    <w:rsid w:val="00370E47"/>
    <w:rsid w:val="00373968"/>
    <w:rsid w:val="003742AC"/>
    <w:rsid w:val="00377CE1"/>
    <w:rsid w:val="003830C7"/>
    <w:rsid w:val="00383857"/>
    <w:rsid w:val="00385BF0"/>
    <w:rsid w:val="00390850"/>
    <w:rsid w:val="0039103C"/>
    <w:rsid w:val="003939FF"/>
    <w:rsid w:val="00396270"/>
    <w:rsid w:val="00396A1B"/>
    <w:rsid w:val="003975B5"/>
    <w:rsid w:val="00397C18"/>
    <w:rsid w:val="003A154D"/>
    <w:rsid w:val="003A1936"/>
    <w:rsid w:val="003A1B03"/>
    <w:rsid w:val="003A2223"/>
    <w:rsid w:val="003A2A0F"/>
    <w:rsid w:val="003A45A1"/>
    <w:rsid w:val="003A5B0A"/>
    <w:rsid w:val="003A6BAC"/>
    <w:rsid w:val="003A70A4"/>
    <w:rsid w:val="003A786A"/>
    <w:rsid w:val="003A7BBA"/>
    <w:rsid w:val="003A7EF3"/>
    <w:rsid w:val="003B159C"/>
    <w:rsid w:val="003B369F"/>
    <w:rsid w:val="003B36A3"/>
    <w:rsid w:val="003B53BE"/>
    <w:rsid w:val="003B647C"/>
    <w:rsid w:val="003B64BB"/>
    <w:rsid w:val="003B7B1C"/>
    <w:rsid w:val="003B7FE5"/>
    <w:rsid w:val="003C11C8"/>
    <w:rsid w:val="003C2702"/>
    <w:rsid w:val="003C2A1B"/>
    <w:rsid w:val="003C2F23"/>
    <w:rsid w:val="003C6CB2"/>
    <w:rsid w:val="003C7806"/>
    <w:rsid w:val="003D02AD"/>
    <w:rsid w:val="003D03E2"/>
    <w:rsid w:val="003D0C82"/>
    <w:rsid w:val="003D109F"/>
    <w:rsid w:val="003D1731"/>
    <w:rsid w:val="003D2478"/>
    <w:rsid w:val="003D3BBA"/>
    <w:rsid w:val="003D3C45"/>
    <w:rsid w:val="003D506D"/>
    <w:rsid w:val="003D51C2"/>
    <w:rsid w:val="003D5B1F"/>
    <w:rsid w:val="003D5BBF"/>
    <w:rsid w:val="003D62A8"/>
    <w:rsid w:val="003E06DB"/>
    <w:rsid w:val="003E15FA"/>
    <w:rsid w:val="003E1AD3"/>
    <w:rsid w:val="003E3175"/>
    <w:rsid w:val="003E4AC2"/>
    <w:rsid w:val="003E50C6"/>
    <w:rsid w:val="003E54F4"/>
    <w:rsid w:val="003E55E4"/>
    <w:rsid w:val="003E6384"/>
    <w:rsid w:val="003E74E3"/>
    <w:rsid w:val="003F05C7"/>
    <w:rsid w:val="003F2CD4"/>
    <w:rsid w:val="003F6BBE"/>
    <w:rsid w:val="004000E8"/>
    <w:rsid w:val="004005C6"/>
    <w:rsid w:val="00400A9E"/>
    <w:rsid w:val="0040103A"/>
    <w:rsid w:val="004012E8"/>
    <w:rsid w:val="004026DB"/>
    <w:rsid w:val="00402E2B"/>
    <w:rsid w:val="0040512B"/>
    <w:rsid w:val="00405CA5"/>
    <w:rsid w:val="004071EE"/>
    <w:rsid w:val="00407CD3"/>
    <w:rsid w:val="00410134"/>
    <w:rsid w:val="00410B72"/>
    <w:rsid w:val="00410F18"/>
    <w:rsid w:val="0041263E"/>
    <w:rsid w:val="00413AAC"/>
    <w:rsid w:val="00413E92"/>
    <w:rsid w:val="004144A0"/>
    <w:rsid w:val="00414A1C"/>
    <w:rsid w:val="00415883"/>
    <w:rsid w:val="00415B3B"/>
    <w:rsid w:val="00416A9A"/>
    <w:rsid w:val="00420544"/>
    <w:rsid w:val="00421105"/>
    <w:rsid w:val="00421752"/>
    <w:rsid w:val="00421BE3"/>
    <w:rsid w:val="00422AA4"/>
    <w:rsid w:val="00422C83"/>
    <w:rsid w:val="00422D09"/>
    <w:rsid w:val="004242F4"/>
    <w:rsid w:val="00426DF7"/>
    <w:rsid w:val="00427248"/>
    <w:rsid w:val="0043000A"/>
    <w:rsid w:val="004311E4"/>
    <w:rsid w:val="00431717"/>
    <w:rsid w:val="00431CB8"/>
    <w:rsid w:val="00434BA4"/>
    <w:rsid w:val="00437447"/>
    <w:rsid w:val="00440F61"/>
    <w:rsid w:val="004416EA"/>
    <w:rsid w:val="00441A92"/>
    <w:rsid w:val="004431DC"/>
    <w:rsid w:val="00443213"/>
    <w:rsid w:val="004441CA"/>
    <w:rsid w:val="00444F56"/>
    <w:rsid w:val="00446488"/>
    <w:rsid w:val="0044763C"/>
    <w:rsid w:val="00447CE0"/>
    <w:rsid w:val="0045029D"/>
    <w:rsid w:val="0045122D"/>
    <w:rsid w:val="004517AA"/>
    <w:rsid w:val="00451C38"/>
    <w:rsid w:val="00452CAC"/>
    <w:rsid w:val="00453FCD"/>
    <w:rsid w:val="00454C65"/>
    <w:rsid w:val="00457565"/>
    <w:rsid w:val="00457B71"/>
    <w:rsid w:val="00457E0A"/>
    <w:rsid w:val="00460582"/>
    <w:rsid w:val="0046102F"/>
    <w:rsid w:val="004616F6"/>
    <w:rsid w:val="00461E9B"/>
    <w:rsid w:val="004669E2"/>
    <w:rsid w:val="00470B74"/>
    <w:rsid w:val="00470C31"/>
    <w:rsid w:val="00470E43"/>
    <w:rsid w:val="00470E95"/>
    <w:rsid w:val="0047122A"/>
    <w:rsid w:val="00471DE0"/>
    <w:rsid w:val="004734D0"/>
    <w:rsid w:val="00473D2C"/>
    <w:rsid w:val="00474512"/>
    <w:rsid w:val="004745E2"/>
    <w:rsid w:val="0047551D"/>
    <w:rsid w:val="0047556B"/>
    <w:rsid w:val="00476877"/>
    <w:rsid w:val="00477768"/>
    <w:rsid w:val="00480AD7"/>
    <w:rsid w:val="00481608"/>
    <w:rsid w:val="00483009"/>
    <w:rsid w:val="00486B68"/>
    <w:rsid w:val="004922D1"/>
    <w:rsid w:val="004928BE"/>
    <w:rsid w:val="00492BC5"/>
    <w:rsid w:val="00493DE9"/>
    <w:rsid w:val="00495C8B"/>
    <w:rsid w:val="004964F1"/>
    <w:rsid w:val="00497557"/>
    <w:rsid w:val="00497CE2"/>
    <w:rsid w:val="004A16BC"/>
    <w:rsid w:val="004A2B94"/>
    <w:rsid w:val="004A2E74"/>
    <w:rsid w:val="004A537C"/>
    <w:rsid w:val="004A58EA"/>
    <w:rsid w:val="004A612A"/>
    <w:rsid w:val="004A70A0"/>
    <w:rsid w:val="004B3E8F"/>
    <w:rsid w:val="004B6F6A"/>
    <w:rsid w:val="004B7C0C"/>
    <w:rsid w:val="004C0643"/>
    <w:rsid w:val="004C0C9D"/>
    <w:rsid w:val="004C1257"/>
    <w:rsid w:val="004C3898"/>
    <w:rsid w:val="004C6967"/>
    <w:rsid w:val="004C6E0A"/>
    <w:rsid w:val="004D0012"/>
    <w:rsid w:val="004D032A"/>
    <w:rsid w:val="004D36B1"/>
    <w:rsid w:val="004D6846"/>
    <w:rsid w:val="004D7EBD"/>
    <w:rsid w:val="004E21C6"/>
    <w:rsid w:val="004E2680"/>
    <w:rsid w:val="004E268F"/>
    <w:rsid w:val="004E28F9"/>
    <w:rsid w:val="004E45AE"/>
    <w:rsid w:val="004E45F8"/>
    <w:rsid w:val="004E462E"/>
    <w:rsid w:val="004E56DC"/>
    <w:rsid w:val="004E76F4"/>
    <w:rsid w:val="004F0B4E"/>
    <w:rsid w:val="004F0B6C"/>
    <w:rsid w:val="004F2078"/>
    <w:rsid w:val="004F3D31"/>
    <w:rsid w:val="004F4DA3"/>
    <w:rsid w:val="004F750D"/>
    <w:rsid w:val="00500E02"/>
    <w:rsid w:val="0050133B"/>
    <w:rsid w:val="00504D1D"/>
    <w:rsid w:val="00505454"/>
    <w:rsid w:val="00505D47"/>
    <w:rsid w:val="00506557"/>
    <w:rsid w:val="0050677A"/>
    <w:rsid w:val="005068D3"/>
    <w:rsid w:val="00506C82"/>
    <w:rsid w:val="0050703A"/>
    <w:rsid w:val="00507F2C"/>
    <w:rsid w:val="005108D6"/>
    <w:rsid w:val="005108D8"/>
    <w:rsid w:val="005116F9"/>
    <w:rsid w:val="00514388"/>
    <w:rsid w:val="005153A7"/>
    <w:rsid w:val="00517C77"/>
    <w:rsid w:val="0052138E"/>
    <w:rsid w:val="005219CF"/>
    <w:rsid w:val="00521A2B"/>
    <w:rsid w:val="00521FA9"/>
    <w:rsid w:val="005243FB"/>
    <w:rsid w:val="005249F0"/>
    <w:rsid w:val="00524A7D"/>
    <w:rsid w:val="005250A9"/>
    <w:rsid w:val="00527800"/>
    <w:rsid w:val="00534B59"/>
    <w:rsid w:val="00536759"/>
    <w:rsid w:val="00537C62"/>
    <w:rsid w:val="00544324"/>
    <w:rsid w:val="00544D44"/>
    <w:rsid w:val="00546338"/>
    <w:rsid w:val="0054646A"/>
    <w:rsid w:val="00546970"/>
    <w:rsid w:val="005505A7"/>
    <w:rsid w:val="005506B5"/>
    <w:rsid w:val="005508BD"/>
    <w:rsid w:val="00551B58"/>
    <w:rsid w:val="00551B81"/>
    <w:rsid w:val="00552FD2"/>
    <w:rsid w:val="00554E19"/>
    <w:rsid w:val="005561C8"/>
    <w:rsid w:val="00557C61"/>
    <w:rsid w:val="0056121F"/>
    <w:rsid w:val="00562C45"/>
    <w:rsid w:val="00565F72"/>
    <w:rsid w:val="00567DBE"/>
    <w:rsid w:val="005709C0"/>
    <w:rsid w:val="00572505"/>
    <w:rsid w:val="00573A6A"/>
    <w:rsid w:val="0057626F"/>
    <w:rsid w:val="00576274"/>
    <w:rsid w:val="00581D44"/>
    <w:rsid w:val="00582809"/>
    <w:rsid w:val="00582859"/>
    <w:rsid w:val="00583A73"/>
    <w:rsid w:val="00583F63"/>
    <w:rsid w:val="005851CE"/>
    <w:rsid w:val="0058798C"/>
    <w:rsid w:val="005900FA"/>
    <w:rsid w:val="0059032B"/>
    <w:rsid w:val="005916D2"/>
    <w:rsid w:val="00591AF9"/>
    <w:rsid w:val="005920BB"/>
    <w:rsid w:val="005935A4"/>
    <w:rsid w:val="005948C2"/>
    <w:rsid w:val="00595DCA"/>
    <w:rsid w:val="005972C0"/>
    <w:rsid w:val="005975E3"/>
    <w:rsid w:val="0059779B"/>
    <w:rsid w:val="005A209A"/>
    <w:rsid w:val="005A2B4A"/>
    <w:rsid w:val="005A662D"/>
    <w:rsid w:val="005A7CFB"/>
    <w:rsid w:val="005B1409"/>
    <w:rsid w:val="005B1A07"/>
    <w:rsid w:val="005B35D7"/>
    <w:rsid w:val="005B392A"/>
    <w:rsid w:val="005B3AA3"/>
    <w:rsid w:val="005B6F83"/>
    <w:rsid w:val="005C4588"/>
    <w:rsid w:val="005C497E"/>
    <w:rsid w:val="005C5652"/>
    <w:rsid w:val="005C60B7"/>
    <w:rsid w:val="005C6B70"/>
    <w:rsid w:val="005C74FB"/>
    <w:rsid w:val="005D033D"/>
    <w:rsid w:val="005D044B"/>
    <w:rsid w:val="005D099D"/>
    <w:rsid w:val="005D1602"/>
    <w:rsid w:val="005D2DE5"/>
    <w:rsid w:val="005D3D0C"/>
    <w:rsid w:val="005D4F7E"/>
    <w:rsid w:val="005E092A"/>
    <w:rsid w:val="005E385F"/>
    <w:rsid w:val="005E3A29"/>
    <w:rsid w:val="005E4A4D"/>
    <w:rsid w:val="005E5219"/>
    <w:rsid w:val="005E5B81"/>
    <w:rsid w:val="005F14FE"/>
    <w:rsid w:val="005F1B96"/>
    <w:rsid w:val="005F1D07"/>
    <w:rsid w:val="005F2876"/>
    <w:rsid w:val="005F2CB1"/>
    <w:rsid w:val="005F3025"/>
    <w:rsid w:val="005F5208"/>
    <w:rsid w:val="005F618C"/>
    <w:rsid w:val="005F70BD"/>
    <w:rsid w:val="005F71CE"/>
    <w:rsid w:val="005F741A"/>
    <w:rsid w:val="0060283C"/>
    <w:rsid w:val="006043A7"/>
    <w:rsid w:val="00604F14"/>
    <w:rsid w:val="0060622E"/>
    <w:rsid w:val="0060696C"/>
    <w:rsid w:val="00607725"/>
    <w:rsid w:val="00610D98"/>
    <w:rsid w:val="00611B83"/>
    <w:rsid w:val="006121B7"/>
    <w:rsid w:val="00612CE3"/>
    <w:rsid w:val="00613257"/>
    <w:rsid w:val="00615746"/>
    <w:rsid w:val="00617135"/>
    <w:rsid w:val="006172C1"/>
    <w:rsid w:val="00617957"/>
    <w:rsid w:val="00620A71"/>
    <w:rsid w:val="00620D80"/>
    <w:rsid w:val="00621C11"/>
    <w:rsid w:val="00623277"/>
    <w:rsid w:val="006234A6"/>
    <w:rsid w:val="00623599"/>
    <w:rsid w:val="00624283"/>
    <w:rsid w:val="00624709"/>
    <w:rsid w:val="00627D9D"/>
    <w:rsid w:val="00630001"/>
    <w:rsid w:val="00630251"/>
    <w:rsid w:val="006310BF"/>
    <w:rsid w:val="006311B3"/>
    <w:rsid w:val="0063284C"/>
    <w:rsid w:val="0063399A"/>
    <w:rsid w:val="006349BD"/>
    <w:rsid w:val="00636398"/>
    <w:rsid w:val="006368D3"/>
    <w:rsid w:val="00637786"/>
    <w:rsid w:val="006377EC"/>
    <w:rsid w:val="0064138B"/>
    <w:rsid w:val="0064151F"/>
    <w:rsid w:val="00641533"/>
    <w:rsid w:val="0064208D"/>
    <w:rsid w:val="00643475"/>
    <w:rsid w:val="0064396A"/>
    <w:rsid w:val="006439C4"/>
    <w:rsid w:val="00645403"/>
    <w:rsid w:val="0064624E"/>
    <w:rsid w:val="0064643F"/>
    <w:rsid w:val="00650AB9"/>
    <w:rsid w:val="00655733"/>
    <w:rsid w:val="00655ACD"/>
    <w:rsid w:val="00656A92"/>
    <w:rsid w:val="00656AF5"/>
    <w:rsid w:val="00656DDE"/>
    <w:rsid w:val="0065737A"/>
    <w:rsid w:val="0065764B"/>
    <w:rsid w:val="00657DA9"/>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77FE2"/>
    <w:rsid w:val="00680193"/>
    <w:rsid w:val="00680ECD"/>
    <w:rsid w:val="00681003"/>
    <w:rsid w:val="006817C9"/>
    <w:rsid w:val="00681D2A"/>
    <w:rsid w:val="00681F48"/>
    <w:rsid w:val="0068343E"/>
    <w:rsid w:val="00683ECE"/>
    <w:rsid w:val="00686F7B"/>
    <w:rsid w:val="006870F8"/>
    <w:rsid w:val="00690183"/>
    <w:rsid w:val="0069114B"/>
    <w:rsid w:val="0069144F"/>
    <w:rsid w:val="0069262E"/>
    <w:rsid w:val="00693504"/>
    <w:rsid w:val="00693FBC"/>
    <w:rsid w:val="00694E40"/>
    <w:rsid w:val="00695FC2"/>
    <w:rsid w:val="00696949"/>
    <w:rsid w:val="00697052"/>
    <w:rsid w:val="006A1E62"/>
    <w:rsid w:val="006A373E"/>
    <w:rsid w:val="006A4462"/>
    <w:rsid w:val="006A46FB"/>
    <w:rsid w:val="006A588B"/>
    <w:rsid w:val="006A5E28"/>
    <w:rsid w:val="006A6210"/>
    <w:rsid w:val="006A697B"/>
    <w:rsid w:val="006A6A7D"/>
    <w:rsid w:val="006A7AFF"/>
    <w:rsid w:val="006A7BA0"/>
    <w:rsid w:val="006B1816"/>
    <w:rsid w:val="006B1EE1"/>
    <w:rsid w:val="006B2099"/>
    <w:rsid w:val="006B30CB"/>
    <w:rsid w:val="006B314A"/>
    <w:rsid w:val="006B50CF"/>
    <w:rsid w:val="006B541A"/>
    <w:rsid w:val="006C03B8"/>
    <w:rsid w:val="006C2AE4"/>
    <w:rsid w:val="006C4B31"/>
    <w:rsid w:val="006C5EC9"/>
    <w:rsid w:val="006C6059"/>
    <w:rsid w:val="006C699A"/>
    <w:rsid w:val="006C7522"/>
    <w:rsid w:val="006C7A42"/>
    <w:rsid w:val="006D08F1"/>
    <w:rsid w:val="006D6BFB"/>
    <w:rsid w:val="006D6F08"/>
    <w:rsid w:val="006D72C2"/>
    <w:rsid w:val="006D7AC8"/>
    <w:rsid w:val="006E062C"/>
    <w:rsid w:val="006E12C0"/>
    <w:rsid w:val="006E1C82"/>
    <w:rsid w:val="006E1D73"/>
    <w:rsid w:val="006E28B7"/>
    <w:rsid w:val="006E2A1E"/>
    <w:rsid w:val="006E2A9B"/>
    <w:rsid w:val="006E3310"/>
    <w:rsid w:val="006E4E39"/>
    <w:rsid w:val="006E5270"/>
    <w:rsid w:val="006E565E"/>
    <w:rsid w:val="006E6239"/>
    <w:rsid w:val="006E673D"/>
    <w:rsid w:val="006E6EAF"/>
    <w:rsid w:val="006E774C"/>
    <w:rsid w:val="006E7D3B"/>
    <w:rsid w:val="006F1377"/>
    <w:rsid w:val="006F1507"/>
    <w:rsid w:val="006F1B70"/>
    <w:rsid w:val="006F341D"/>
    <w:rsid w:val="006F3CDE"/>
    <w:rsid w:val="006F555C"/>
    <w:rsid w:val="006F58D4"/>
    <w:rsid w:val="006F6582"/>
    <w:rsid w:val="006F74F4"/>
    <w:rsid w:val="00702405"/>
    <w:rsid w:val="0070346E"/>
    <w:rsid w:val="00704EDB"/>
    <w:rsid w:val="00706101"/>
    <w:rsid w:val="00707072"/>
    <w:rsid w:val="0070744C"/>
    <w:rsid w:val="007074A6"/>
    <w:rsid w:val="00707823"/>
    <w:rsid w:val="00707D61"/>
    <w:rsid w:val="00712287"/>
    <w:rsid w:val="00712772"/>
    <w:rsid w:val="007148D3"/>
    <w:rsid w:val="00715291"/>
    <w:rsid w:val="00715B9A"/>
    <w:rsid w:val="0071614D"/>
    <w:rsid w:val="007167BF"/>
    <w:rsid w:val="00717618"/>
    <w:rsid w:val="00720567"/>
    <w:rsid w:val="0072167E"/>
    <w:rsid w:val="007235E4"/>
    <w:rsid w:val="00723765"/>
    <w:rsid w:val="00723D69"/>
    <w:rsid w:val="007257D0"/>
    <w:rsid w:val="00725C25"/>
    <w:rsid w:val="00726C83"/>
    <w:rsid w:val="00726EA6"/>
    <w:rsid w:val="00727208"/>
    <w:rsid w:val="00727680"/>
    <w:rsid w:val="00727A02"/>
    <w:rsid w:val="007319E0"/>
    <w:rsid w:val="00731A86"/>
    <w:rsid w:val="00731AC4"/>
    <w:rsid w:val="00732916"/>
    <w:rsid w:val="007330CD"/>
    <w:rsid w:val="0073460F"/>
    <w:rsid w:val="00734641"/>
    <w:rsid w:val="0073476C"/>
    <w:rsid w:val="007348B1"/>
    <w:rsid w:val="007360C0"/>
    <w:rsid w:val="007362A6"/>
    <w:rsid w:val="00736707"/>
    <w:rsid w:val="00736D7D"/>
    <w:rsid w:val="0074077F"/>
    <w:rsid w:val="00740E58"/>
    <w:rsid w:val="007445A0"/>
    <w:rsid w:val="0074524B"/>
    <w:rsid w:val="00746AAA"/>
    <w:rsid w:val="00747D8B"/>
    <w:rsid w:val="00751228"/>
    <w:rsid w:val="0075334C"/>
    <w:rsid w:val="0075441E"/>
    <w:rsid w:val="0075579C"/>
    <w:rsid w:val="00755D5E"/>
    <w:rsid w:val="007571E1"/>
    <w:rsid w:val="0075757E"/>
    <w:rsid w:val="007604B2"/>
    <w:rsid w:val="00760608"/>
    <w:rsid w:val="0076104C"/>
    <w:rsid w:val="00762446"/>
    <w:rsid w:val="00763367"/>
    <w:rsid w:val="00765281"/>
    <w:rsid w:val="00766BAD"/>
    <w:rsid w:val="00767B8F"/>
    <w:rsid w:val="007729A2"/>
    <w:rsid w:val="007739AF"/>
    <w:rsid w:val="00774467"/>
    <w:rsid w:val="00775468"/>
    <w:rsid w:val="007755F2"/>
    <w:rsid w:val="007766A7"/>
    <w:rsid w:val="00776971"/>
    <w:rsid w:val="0077717D"/>
    <w:rsid w:val="00780A80"/>
    <w:rsid w:val="0078177E"/>
    <w:rsid w:val="00782706"/>
    <w:rsid w:val="0078304C"/>
    <w:rsid w:val="00783673"/>
    <w:rsid w:val="00785490"/>
    <w:rsid w:val="00786C89"/>
    <w:rsid w:val="00791386"/>
    <w:rsid w:val="00791FF9"/>
    <w:rsid w:val="007925EA"/>
    <w:rsid w:val="00793CD8"/>
    <w:rsid w:val="007958FB"/>
    <w:rsid w:val="00795C92"/>
    <w:rsid w:val="00796231"/>
    <w:rsid w:val="007A0D3C"/>
    <w:rsid w:val="007A11DD"/>
    <w:rsid w:val="007A1264"/>
    <w:rsid w:val="007A1CB3"/>
    <w:rsid w:val="007A306F"/>
    <w:rsid w:val="007A3AC0"/>
    <w:rsid w:val="007A43A6"/>
    <w:rsid w:val="007A58A6"/>
    <w:rsid w:val="007A5E31"/>
    <w:rsid w:val="007A7DCF"/>
    <w:rsid w:val="007B2537"/>
    <w:rsid w:val="007B3D2D"/>
    <w:rsid w:val="007B41A8"/>
    <w:rsid w:val="007B45B8"/>
    <w:rsid w:val="007B50AE"/>
    <w:rsid w:val="007B51DF"/>
    <w:rsid w:val="007B63AD"/>
    <w:rsid w:val="007B66E6"/>
    <w:rsid w:val="007C05DD"/>
    <w:rsid w:val="007C164A"/>
    <w:rsid w:val="007C18F1"/>
    <w:rsid w:val="007C230D"/>
    <w:rsid w:val="007C241D"/>
    <w:rsid w:val="007C2E32"/>
    <w:rsid w:val="007C3D18"/>
    <w:rsid w:val="007C3D4D"/>
    <w:rsid w:val="007C60BF"/>
    <w:rsid w:val="007C665F"/>
    <w:rsid w:val="007C6A07"/>
    <w:rsid w:val="007C6C60"/>
    <w:rsid w:val="007C75A1"/>
    <w:rsid w:val="007C77A5"/>
    <w:rsid w:val="007C7E6F"/>
    <w:rsid w:val="007D025D"/>
    <w:rsid w:val="007D04E5"/>
    <w:rsid w:val="007D56E3"/>
    <w:rsid w:val="007D5901"/>
    <w:rsid w:val="007D7526"/>
    <w:rsid w:val="007E26A0"/>
    <w:rsid w:val="007E317C"/>
    <w:rsid w:val="007E4610"/>
    <w:rsid w:val="007E4715"/>
    <w:rsid w:val="007E505B"/>
    <w:rsid w:val="007E7091"/>
    <w:rsid w:val="007F374C"/>
    <w:rsid w:val="007F6172"/>
    <w:rsid w:val="007F6377"/>
    <w:rsid w:val="007F6A38"/>
    <w:rsid w:val="007F77C2"/>
    <w:rsid w:val="00801F37"/>
    <w:rsid w:val="00803E0B"/>
    <w:rsid w:val="00803FAE"/>
    <w:rsid w:val="0080605F"/>
    <w:rsid w:val="00807786"/>
    <w:rsid w:val="00811FCB"/>
    <w:rsid w:val="008128BE"/>
    <w:rsid w:val="0081404A"/>
    <w:rsid w:val="00814D13"/>
    <w:rsid w:val="00815719"/>
    <w:rsid w:val="008158D6"/>
    <w:rsid w:val="00817196"/>
    <w:rsid w:val="00817B9E"/>
    <w:rsid w:val="00822628"/>
    <w:rsid w:val="008235DB"/>
    <w:rsid w:val="008249CD"/>
    <w:rsid w:val="00824AB4"/>
    <w:rsid w:val="00825C42"/>
    <w:rsid w:val="00825D25"/>
    <w:rsid w:val="00826A02"/>
    <w:rsid w:val="00827D6F"/>
    <w:rsid w:val="00832B6E"/>
    <w:rsid w:val="008340FF"/>
    <w:rsid w:val="00836564"/>
    <w:rsid w:val="008366F5"/>
    <w:rsid w:val="008376AC"/>
    <w:rsid w:val="008379C8"/>
    <w:rsid w:val="008404DA"/>
    <w:rsid w:val="00840FBB"/>
    <w:rsid w:val="00842B16"/>
    <w:rsid w:val="00843633"/>
    <w:rsid w:val="008444E8"/>
    <w:rsid w:val="00844945"/>
    <w:rsid w:val="00844E80"/>
    <w:rsid w:val="00844F99"/>
    <w:rsid w:val="00846FE7"/>
    <w:rsid w:val="00851327"/>
    <w:rsid w:val="008525DC"/>
    <w:rsid w:val="008556DC"/>
    <w:rsid w:val="0085684E"/>
    <w:rsid w:val="00856911"/>
    <w:rsid w:val="00857A08"/>
    <w:rsid w:val="00860747"/>
    <w:rsid w:val="0086405F"/>
    <w:rsid w:val="008641BB"/>
    <w:rsid w:val="008677FD"/>
    <w:rsid w:val="008706D4"/>
    <w:rsid w:val="00870F8A"/>
    <w:rsid w:val="008719A4"/>
    <w:rsid w:val="00871D23"/>
    <w:rsid w:val="00874265"/>
    <w:rsid w:val="00874312"/>
    <w:rsid w:val="0087437C"/>
    <w:rsid w:val="00874A0E"/>
    <w:rsid w:val="00875CD7"/>
    <w:rsid w:val="00876B4D"/>
    <w:rsid w:val="00877F18"/>
    <w:rsid w:val="008806BA"/>
    <w:rsid w:val="00881706"/>
    <w:rsid w:val="00882057"/>
    <w:rsid w:val="00887233"/>
    <w:rsid w:val="00890656"/>
    <w:rsid w:val="008941E3"/>
    <w:rsid w:val="008942E7"/>
    <w:rsid w:val="008949B0"/>
    <w:rsid w:val="00894A88"/>
    <w:rsid w:val="00894A9F"/>
    <w:rsid w:val="00895386"/>
    <w:rsid w:val="00895429"/>
    <w:rsid w:val="00895598"/>
    <w:rsid w:val="008A0D0B"/>
    <w:rsid w:val="008A21FF"/>
    <w:rsid w:val="008A259D"/>
    <w:rsid w:val="008A2CE2"/>
    <w:rsid w:val="008A30AC"/>
    <w:rsid w:val="008A44B8"/>
    <w:rsid w:val="008A4B1C"/>
    <w:rsid w:val="008A51A8"/>
    <w:rsid w:val="008A54C7"/>
    <w:rsid w:val="008A6328"/>
    <w:rsid w:val="008A77D8"/>
    <w:rsid w:val="008B02E9"/>
    <w:rsid w:val="008B0483"/>
    <w:rsid w:val="008B120C"/>
    <w:rsid w:val="008B224B"/>
    <w:rsid w:val="008B51A0"/>
    <w:rsid w:val="008B56EA"/>
    <w:rsid w:val="008B592A"/>
    <w:rsid w:val="008B7B5C"/>
    <w:rsid w:val="008C0C99"/>
    <w:rsid w:val="008C2017"/>
    <w:rsid w:val="008C33F7"/>
    <w:rsid w:val="008C45D4"/>
    <w:rsid w:val="008C4958"/>
    <w:rsid w:val="008C4B95"/>
    <w:rsid w:val="008C4BAA"/>
    <w:rsid w:val="008C50AD"/>
    <w:rsid w:val="008C5155"/>
    <w:rsid w:val="008C65AD"/>
    <w:rsid w:val="008C6AE8"/>
    <w:rsid w:val="008C7573"/>
    <w:rsid w:val="008D00A5"/>
    <w:rsid w:val="008D20AC"/>
    <w:rsid w:val="008D34F1"/>
    <w:rsid w:val="008D39D8"/>
    <w:rsid w:val="008D412E"/>
    <w:rsid w:val="008D4F9C"/>
    <w:rsid w:val="008D6D1A"/>
    <w:rsid w:val="008D6FC7"/>
    <w:rsid w:val="008D754A"/>
    <w:rsid w:val="008E065E"/>
    <w:rsid w:val="008E0927"/>
    <w:rsid w:val="008E0E19"/>
    <w:rsid w:val="008E1909"/>
    <w:rsid w:val="008E6681"/>
    <w:rsid w:val="008E7543"/>
    <w:rsid w:val="008F1C4E"/>
    <w:rsid w:val="008F1EAB"/>
    <w:rsid w:val="008F21A5"/>
    <w:rsid w:val="008F33DC"/>
    <w:rsid w:val="008F3FDD"/>
    <w:rsid w:val="008F421A"/>
    <w:rsid w:val="008F477F"/>
    <w:rsid w:val="008F4DC7"/>
    <w:rsid w:val="008F5623"/>
    <w:rsid w:val="008F60B5"/>
    <w:rsid w:val="008F76FD"/>
    <w:rsid w:val="008F7775"/>
    <w:rsid w:val="00901E2B"/>
    <w:rsid w:val="00902350"/>
    <w:rsid w:val="00902B03"/>
    <w:rsid w:val="00902EA1"/>
    <w:rsid w:val="0090336B"/>
    <w:rsid w:val="009053AA"/>
    <w:rsid w:val="00906939"/>
    <w:rsid w:val="00910A00"/>
    <w:rsid w:val="00910B7D"/>
    <w:rsid w:val="009113CF"/>
    <w:rsid w:val="00911DFB"/>
    <w:rsid w:val="0091205E"/>
    <w:rsid w:val="009132E4"/>
    <w:rsid w:val="009139D9"/>
    <w:rsid w:val="00914AD8"/>
    <w:rsid w:val="00916079"/>
    <w:rsid w:val="00917CE9"/>
    <w:rsid w:val="00920BF2"/>
    <w:rsid w:val="00922010"/>
    <w:rsid w:val="009261B2"/>
    <w:rsid w:val="00927017"/>
    <w:rsid w:val="009270FC"/>
    <w:rsid w:val="00931A92"/>
    <w:rsid w:val="00931BD9"/>
    <w:rsid w:val="009356F0"/>
    <w:rsid w:val="00935815"/>
    <w:rsid w:val="009368F3"/>
    <w:rsid w:val="0093703A"/>
    <w:rsid w:val="00940A04"/>
    <w:rsid w:val="00941636"/>
    <w:rsid w:val="00942B79"/>
    <w:rsid w:val="00943742"/>
    <w:rsid w:val="0094422A"/>
    <w:rsid w:val="00945C05"/>
    <w:rsid w:val="00946945"/>
    <w:rsid w:val="009472E1"/>
    <w:rsid w:val="00947713"/>
    <w:rsid w:val="00947B61"/>
    <w:rsid w:val="00950DE7"/>
    <w:rsid w:val="00951A8F"/>
    <w:rsid w:val="009521B9"/>
    <w:rsid w:val="009521D7"/>
    <w:rsid w:val="0095376B"/>
    <w:rsid w:val="00953920"/>
    <w:rsid w:val="00953D47"/>
    <w:rsid w:val="009540FD"/>
    <w:rsid w:val="00955A50"/>
    <w:rsid w:val="0095624F"/>
    <w:rsid w:val="0095681E"/>
    <w:rsid w:val="00956B2C"/>
    <w:rsid w:val="009571C9"/>
    <w:rsid w:val="009572D4"/>
    <w:rsid w:val="0095746B"/>
    <w:rsid w:val="0096074D"/>
    <w:rsid w:val="00961921"/>
    <w:rsid w:val="00962E1C"/>
    <w:rsid w:val="0096430A"/>
    <w:rsid w:val="0096554B"/>
    <w:rsid w:val="00965597"/>
    <w:rsid w:val="0096584A"/>
    <w:rsid w:val="00970165"/>
    <w:rsid w:val="009709B6"/>
    <w:rsid w:val="00970ADD"/>
    <w:rsid w:val="00971F08"/>
    <w:rsid w:val="009744D8"/>
    <w:rsid w:val="0097603D"/>
    <w:rsid w:val="00976949"/>
    <w:rsid w:val="009770F0"/>
    <w:rsid w:val="0097748A"/>
    <w:rsid w:val="00977654"/>
    <w:rsid w:val="00980477"/>
    <w:rsid w:val="00984F2B"/>
    <w:rsid w:val="00985253"/>
    <w:rsid w:val="009853B3"/>
    <w:rsid w:val="00987FA1"/>
    <w:rsid w:val="0099005E"/>
    <w:rsid w:val="00990630"/>
    <w:rsid w:val="00991761"/>
    <w:rsid w:val="009928FD"/>
    <w:rsid w:val="00992D6E"/>
    <w:rsid w:val="00992F40"/>
    <w:rsid w:val="0099332F"/>
    <w:rsid w:val="00993793"/>
    <w:rsid w:val="00994DCA"/>
    <w:rsid w:val="009960EC"/>
    <w:rsid w:val="00996828"/>
    <w:rsid w:val="009970DD"/>
    <w:rsid w:val="009A02D3"/>
    <w:rsid w:val="009A0FBA"/>
    <w:rsid w:val="009A1601"/>
    <w:rsid w:val="009A2324"/>
    <w:rsid w:val="009A3BB6"/>
    <w:rsid w:val="009A462D"/>
    <w:rsid w:val="009A5CBA"/>
    <w:rsid w:val="009A77EE"/>
    <w:rsid w:val="009B167D"/>
    <w:rsid w:val="009B1F30"/>
    <w:rsid w:val="009B1FF0"/>
    <w:rsid w:val="009B2668"/>
    <w:rsid w:val="009B3AC2"/>
    <w:rsid w:val="009B4DF4"/>
    <w:rsid w:val="009B564E"/>
    <w:rsid w:val="009B629C"/>
    <w:rsid w:val="009B633A"/>
    <w:rsid w:val="009B63B0"/>
    <w:rsid w:val="009B7E87"/>
    <w:rsid w:val="009C0084"/>
    <w:rsid w:val="009C0169"/>
    <w:rsid w:val="009C2AA0"/>
    <w:rsid w:val="009C31FD"/>
    <w:rsid w:val="009C403E"/>
    <w:rsid w:val="009C43B7"/>
    <w:rsid w:val="009C45A1"/>
    <w:rsid w:val="009C5B0E"/>
    <w:rsid w:val="009C7011"/>
    <w:rsid w:val="009D0604"/>
    <w:rsid w:val="009D1585"/>
    <w:rsid w:val="009D457E"/>
    <w:rsid w:val="009D4BA7"/>
    <w:rsid w:val="009D4FF0"/>
    <w:rsid w:val="009D5847"/>
    <w:rsid w:val="009D703C"/>
    <w:rsid w:val="009D718F"/>
    <w:rsid w:val="009E068F"/>
    <w:rsid w:val="009E14E0"/>
    <w:rsid w:val="009E18C2"/>
    <w:rsid w:val="009E1CAC"/>
    <w:rsid w:val="009E2207"/>
    <w:rsid w:val="009E35DB"/>
    <w:rsid w:val="009E3B40"/>
    <w:rsid w:val="009E4532"/>
    <w:rsid w:val="009E47A3"/>
    <w:rsid w:val="009E57A2"/>
    <w:rsid w:val="009E75BE"/>
    <w:rsid w:val="009E7770"/>
    <w:rsid w:val="009F08F3"/>
    <w:rsid w:val="009F344F"/>
    <w:rsid w:val="009F3DB1"/>
    <w:rsid w:val="009F43C9"/>
    <w:rsid w:val="009F565A"/>
    <w:rsid w:val="009F7CA5"/>
    <w:rsid w:val="009F7FCE"/>
    <w:rsid w:val="00A022CA"/>
    <w:rsid w:val="00A031D8"/>
    <w:rsid w:val="00A048A8"/>
    <w:rsid w:val="00A04F49"/>
    <w:rsid w:val="00A135C6"/>
    <w:rsid w:val="00A13E54"/>
    <w:rsid w:val="00A17628"/>
    <w:rsid w:val="00A17F63"/>
    <w:rsid w:val="00A2193B"/>
    <w:rsid w:val="00A2351A"/>
    <w:rsid w:val="00A2549F"/>
    <w:rsid w:val="00A264A9"/>
    <w:rsid w:val="00A26DCF"/>
    <w:rsid w:val="00A27785"/>
    <w:rsid w:val="00A30187"/>
    <w:rsid w:val="00A30A88"/>
    <w:rsid w:val="00A313FD"/>
    <w:rsid w:val="00A33CF4"/>
    <w:rsid w:val="00A3448A"/>
    <w:rsid w:val="00A34865"/>
    <w:rsid w:val="00A36245"/>
    <w:rsid w:val="00A36297"/>
    <w:rsid w:val="00A36321"/>
    <w:rsid w:val="00A37CFA"/>
    <w:rsid w:val="00A41E2B"/>
    <w:rsid w:val="00A45B74"/>
    <w:rsid w:val="00A46926"/>
    <w:rsid w:val="00A52713"/>
    <w:rsid w:val="00A52E1D"/>
    <w:rsid w:val="00A52FCA"/>
    <w:rsid w:val="00A535FD"/>
    <w:rsid w:val="00A575AC"/>
    <w:rsid w:val="00A60912"/>
    <w:rsid w:val="00A61499"/>
    <w:rsid w:val="00A616F4"/>
    <w:rsid w:val="00A626E9"/>
    <w:rsid w:val="00A62A77"/>
    <w:rsid w:val="00A63483"/>
    <w:rsid w:val="00A657D7"/>
    <w:rsid w:val="00A660AC"/>
    <w:rsid w:val="00A67E6C"/>
    <w:rsid w:val="00A71B99"/>
    <w:rsid w:val="00A72663"/>
    <w:rsid w:val="00A72CCB"/>
    <w:rsid w:val="00A739D0"/>
    <w:rsid w:val="00A750F4"/>
    <w:rsid w:val="00A761D4"/>
    <w:rsid w:val="00A77EC4"/>
    <w:rsid w:val="00A8269C"/>
    <w:rsid w:val="00A82A5F"/>
    <w:rsid w:val="00A83AF4"/>
    <w:rsid w:val="00A92879"/>
    <w:rsid w:val="00A9442A"/>
    <w:rsid w:val="00A95A41"/>
    <w:rsid w:val="00AA016F"/>
    <w:rsid w:val="00AA02AC"/>
    <w:rsid w:val="00AA1ED6"/>
    <w:rsid w:val="00AA210A"/>
    <w:rsid w:val="00AA2184"/>
    <w:rsid w:val="00AA3859"/>
    <w:rsid w:val="00AA51D6"/>
    <w:rsid w:val="00AA5994"/>
    <w:rsid w:val="00AB0BC8"/>
    <w:rsid w:val="00AB11CA"/>
    <w:rsid w:val="00AB1340"/>
    <w:rsid w:val="00AB14D9"/>
    <w:rsid w:val="00AB4AB8"/>
    <w:rsid w:val="00AB5205"/>
    <w:rsid w:val="00AB655E"/>
    <w:rsid w:val="00AB78A4"/>
    <w:rsid w:val="00AC007F"/>
    <w:rsid w:val="00AC2ECD"/>
    <w:rsid w:val="00AC3119"/>
    <w:rsid w:val="00AC49FB"/>
    <w:rsid w:val="00AC5A10"/>
    <w:rsid w:val="00AC6D04"/>
    <w:rsid w:val="00AD0AA3"/>
    <w:rsid w:val="00AD16DD"/>
    <w:rsid w:val="00AD2ED0"/>
    <w:rsid w:val="00AD3F94"/>
    <w:rsid w:val="00AD445F"/>
    <w:rsid w:val="00AD4A5A"/>
    <w:rsid w:val="00AD7B4D"/>
    <w:rsid w:val="00AE2139"/>
    <w:rsid w:val="00AE27AC"/>
    <w:rsid w:val="00AE3FDE"/>
    <w:rsid w:val="00AE40E0"/>
    <w:rsid w:val="00AE4DBA"/>
    <w:rsid w:val="00AE4F07"/>
    <w:rsid w:val="00AE7E1D"/>
    <w:rsid w:val="00AF058A"/>
    <w:rsid w:val="00AF1281"/>
    <w:rsid w:val="00AF1669"/>
    <w:rsid w:val="00AF1C5D"/>
    <w:rsid w:val="00AF3CD5"/>
    <w:rsid w:val="00AF42D7"/>
    <w:rsid w:val="00AF50A1"/>
    <w:rsid w:val="00B0042B"/>
    <w:rsid w:val="00B006FE"/>
    <w:rsid w:val="00B007CB"/>
    <w:rsid w:val="00B022AF"/>
    <w:rsid w:val="00B025D6"/>
    <w:rsid w:val="00B02AA9"/>
    <w:rsid w:val="00B02FA3"/>
    <w:rsid w:val="00B05084"/>
    <w:rsid w:val="00B06557"/>
    <w:rsid w:val="00B1181B"/>
    <w:rsid w:val="00B11B29"/>
    <w:rsid w:val="00B12C6C"/>
    <w:rsid w:val="00B13206"/>
    <w:rsid w:val="00B13997"/>
    <w:rsid w:val="00B15362"/>
    <w:rsid w:val="00B157F9"/>
    <w:rsid w:val="00B20079"/>
    <w:rsid w:val="00B20256"/>
    <w:rsid w:val="00B20D09"/>
    <w:rsid w:val="00B21BFD"/>
    <w:rsid w:val="00B238B2"/>
    <w:rsid w:val="00B24C12"/>
    <w:rsid w:val="00B261C5"/>
    <w:rsid w:val="00B26271"/>
    <w:rsid w:val="00B270A7"/>
    <w:rsid w:val="00B2763F"/>
    <w:rsid w:val="00B27AAC"/>
    <w:rsid w:val="00B30929"/>
    <w:rsid w:val="00B31D2B"/>
    <w:rsid w:val="00B3242B"/>
    <w:rsid w:val="00B32B19"/>
    <w:rsid w:val="00B34CEA"/>
    <w:rsid w:val="00B36527"/>
    <w:rsid w:val="00B372AA"/>
    <w:rsid w:val="00B37947"/>
    <w:rsid w:val="00B40445"/>
    <w:rsid w:val="00B409E0"/>
    <w:rsid w:val="00B414DD"/>
    <w:rsid w:val="00B41888"/>
    <w:rsid w:val="00B443CC"/>
    <w:rsid w:val="00B456E4"/>
    <w:rsid w:val="00B45A52"/>
    <w:rsid w:val="00B46175"/>
    <w:rsid w:val="00B47071"/>
    <w:rsid w:val="00B548B7"/>
    <w:rsid w:val="00B552B2"/>
    <w:rsid w:val="00B57A5D"/>
    <w:rsid w:val="00B61860"/>
    <w:rsid w:val="00B6262C"/>
    <w:rsid w:val="00B64190"/>
    <w:rsid w:val="00B655B5"/>
    <w:rsid w:val="00B664C7"/>
    <w:rsid w:val="00B67444"/>
    <w:rsid w:val="00B7095D"/>
    <w:rsid w:val="00B714FE"/>
    <w:rsid w:val="00B72633"/>
    <w:rsid w:val="00B739F6"/>
    <w:rsid w:val="00B76F70"/>
    <w:rsid w:val="00B804F3"/>
    <w:rsid w:val="00B81A6C"/>
    <w:rsid w:val="00B82ABA"/>
    <w:rsid w:val="00B82AC9"/>
    <w:rsid w:val="00B85DE5"/>
    <w:rsid w:val="00B87A6B"/>
    <w:rsid w:val="00B907DA"/>
    <w:rsid w:val="00B90F73"/>
    <w:rsid w:val="00B9114C"/>
    <w:rsid w:val="00B93B59"/>
    <w:rsid w:val="00B9406A"/>
    <w:rsid w:val="00B9436F"/>
    <w:rsid w:val="00B9686D"/>
    <w:rsid w:val="00B970D0"/>
    <w:rsid w:val="00B978E1"/>
    <w:rsid w:val="00B97B30"/>
    <w:rsid w:val="00BA2280"/>
    <w:rsid w:val="00BA2A08"/>
    <w:rsid w:val="00BA2BCA"/>
    <w:rsid w:val="00BA3A0B"/>
    <w:rsid w:val="00BA56D2"/>
    <w:rsid w:val="00BA5DD1"/>
    <w:rsid w:val="00BA6082"/>
    <w:rsid w:val="00BA76E0"/>
    <w:rsid w:val="00BB2A25"/>
    <w:rsid w:val="00BB51E9"/>
    <w:rsid w:val="00BB57E9"/>
    <w:rsid w:val="00BB65F9"/>
    <w:rsid w:val="00BC0FDC"/>
    <w:rsid w:val="00BC1F4C"/>
    <w:rsid w:val="00BC3053"/>
    <w:rsid w:val="00BC33A8"/>
    <w:rsid w:val="00BC4A38"/>
    <w:rsid w:val="00BC4A79"/>
    <w:rsid w:val="00BC4D2E"/>
    <w:rsid w:val="00BC7701"/>
    <w:rsid w:val="00BD0996"/>
    <w:rsid w:val="00BD367D"/>
    <w:rsid w:val="00BD48AC"/>
    <w:rsid w:val="00BD4D5F"/>
    <w:rsid w:val="00BD5F1A"/>
    <w:rsid w:val="00BD67D2"/>
    <w:rsid w:val="00BE0529"/>
    <w:rsid w:val="00BE1234"/>
    <w:rsid w:val="00BE2FA6"/>
    <w:rsid w:val="00BE333F"/>
    <w:rsid w:val="00BE6053"/>
    <w:rsid w:val="00BE7406"/>
    <w:rsid w:val="00BE7603"/>
    <w:rsid w:val="00BF0142"/>
    <w:rsid w:val="00BF0BB9"/>
    <w:rsid w:val="00BF3279"/>
    <w:rsid w:val="00BF49B2"/>
    <w:rsid w:val="00BF61D9"/>
    <w:rsid w:val="00BF74C7"/>
    <w:rsid w:val="00BF7D34"/>
    <w:rsid w:val="00C015F1"/>
    <w:rsid w:val="00C017EC"/>
    <w:rsid w:val="00C01C3D"/>
    <w:rsid w:val="00C01F33"/>
    <w:rsid w:val="00C02CC6"/>
    <w:rsid w:val="00C040F7"/>
    <w:rsid w:val="00C041CE"/>
    <w:rsid w:val="00C044AB"/>
    <w:rsid w:val="00C05706"/>
    <w:rsid w:val="00C07377"/>
    <w:rsid w:val="00C10478"/>
    <w:rsid w:val="00C12107"/>
    <w:rsid w:val="00C134E3"/>
    <w:rsid w:val="00C14D4B"/>
    <w:rsid w:val="00C154BB"/>
    <w:rsid w:val="00C17A24"/>
    <w:rsid w:val="00C17F41"/>
    <w:rsid w:val="00C21CB2"/>
    <w:rsid w:val="00C2203F"/>
    <w:rsid w:val="00C232C6"/>
    <w:rsid w:val="00C25958"/>
    <w:rsid w:val="00C279B5"/>
    <w:rsid w:val="00C27C45"/>
    <w:rsid w:val="00C31FB9"/>
    <w:rsid w:val="00C3472D"/>
    <w:rsid w:val="00C3719D"/>
    <w:rsid w:val="00C372BF"/>
    <w:rsid w:val="00C37CB2"/>
    <w:rsid w:val="00C432DA"/>
    <w:rsid w:val="00C440A7"/>
    <w:rsid w:val="00C44366"/>
    <w:rsid w:val="00C473A5"/>
    <w:rsid w:val="00C53D7B"/>
    <w:rsid w:val="00C5412A"/>
    <w:rsid w:val="00C54995"/>
    <w:rsid w:val="00C54D41"/>
    <w:rsid w:val="00C56834"/>
    <w:rsid w:val="00C60783"/>
    <w:rsid w:val="00C6240D"/>
    <w:rsid w:val="00C62F2F"/>
    <w:rsid w:val="00C64672"/>
    <w:rsid w:val="00C669BB"/>
    <w:rsid w:val="00C66EB0"/>
    <w:rsid w:val="00C67AEC"/>
    <w:rsid w:val="00C67CD5"/>
    <w:rsid w:val="00C700F2"/>
    <w:rsid w:val="00C70697"/>
    <w:rsid w:val="00C70EFE"/>
    <w:rsid w:val="00C7139A"/>
    <w:rsid w:val="00C72093"/>
    <w:rsid w:val="00C72EF4"/>
    <w:rsid w:val="00C744FE"/>
    <w:rsid w:val="00C74D2D"/>
    <w:rsid w:val="00C75005"/>
    <w:rsid w:val="00C75D2F"/>
    <w:rsid w:val="00C767BE"/>
    <w:rsid w:val="00C76E3C"/>
    <w:rsid w:val="00C76E82"/>
    <w:rsid w:val="00C81568"/>
    <w:rsid w:val="00C82678"/>
    <w:rsid w:val="00C82AFB"/>
    <w:rsid w:val="00C838F0"/>
    <w:rsid w:val="00C839DB"/>
    <w:rsid w:val="00C84FE9"/>
    <w:rsid w:val="00C85A8B"/>
    <w:rsid w:val="00C86F7A"/>
    <w:rsid w:val="00C9027A"/>
    <w:rsid w:val="00C9068E"/>
    <w:rsid w:val="00C91487"/>
    <w:rsid w:val="00C92164"/>
    <w:rsid w:val="00C93814"/>
    <w:rsid w:val="00C93C4B"/>
    <w:rsid w:val="00C944AB"/>
    <w:rsid w:val="00C95B40"/>
    <w:rsid w:val="00C960C4"/>
    <w:rsid w:val="00C963A2"/>
    <w:rsid w:val="00C9708A"/>
    <w:rsid w:val="00C97950"/>
    <w:rsid w:val="00CA06C5"/>
    <w:rsid w:val="00CA1805"/>
    <w:rsid w:val="00CA1ED8"/>
    <w:rsid w:val="00CA203A"/>
    <w:rsid w:val="00CA268E"/>
    <w:rsid w:val="00CA3A00"/>
    <w:rsid w:val="00CB1F63"/>
    <w:rsid w:val="00CB47FF"/>
    <w:rsid w:val="00CB58EE"/>
    <w:rsid w:val="00CB7170"/>
    <w:rsid w:val="00CC040E"/>
    <w:rsid w:val="00CC0FC4"/>
    <w:rsid w:val="00CC111F"/>
    <w:rsid w:val="00CC1AE6"/>
    <w:rsid w:val="00CC2011"/>
    <w:rsid w:val="00CC3008"/>
    <w:rsid w:val="00CC3EA0"/>
    <w:rsid w:val="00CC43C8"/>
    <w:rsid w:val="00CC7601"/>
    <w:rsid w:val="00CC7B45"/>
    <w:rsid w:val="00CD1188"/>
    <w:rsid w:val="00CD2ED1"/>
    <w:rsid w:val="00CD337B"/>
    <w:rsid w:val="00CD3B55"/>
    <w:rsid w:val="00CD4033"/>
    <w:rsid w:val="00CD6FF5"/>
    <w:rsid w:val="00CE0424"/>
    <w:rsid w:val="00CE2D57"/>
    <w:rsid w:val="00CE2DC4"/>
    <w:rsid w:val="00CE3FBD"/>
    <w:rsid w:val="00CE4CFA"/>
    <w:rsid w:val="00CE7561"/>
    <w:rsid w:val="00CE7AA2"/>
    <w:rsid w:val="00CE7B7A"/>
    <w:rsid w:val="00CF1038"/>
    <w:rsid w:val="00CF1118"/>
    <w:rsid w:val="00CF1354"/>
    <w:rsid w:val="00CF3B1F"/>
    <w:rsid w:val="00CF3BF6"/>
    <w:rsid w:val="00CF625B"/>
    <w:rsid w:val="00CF672E"/>
    <w:rsid w:val="00CF687E"/>
    <w:rsid w:val="00CF68F4"/>
    <w:rsid w:val="00CF7D37"/>
    <w:rsid w:val="00D0251B"/>
    <w:rsid w:val="00D0349B"/>
    <w:rsid w:val="00D03714"/>
    <w:rsid w:val="00D05864"/>
    <w:rsid w:val="00D10249"/>
    <w:rsid w:val="00D115C3"/>
    <w:rsid w:val="00D11897"/>
    <w:rsid w:val="00D13135"/>
    <w:rsid w:val="00D13E4E"/>
    <w:rsid w:val="00D168DB"/>
    <w:rsid w:val="00D20E1B"/>
    <w:rsid w:val="00D22ECD"/>
    <w:rsid w:val="00D239A7"/>
    <w:rsid w:val="00D23F47"/>
    <w:rsid w:val="00D24D8E"/>
    <w:rsid w:val="00D26513"/>
    <w:rsid w:val="00D26F3A"/>
    <w:rsid w:val="00D27B4E"/>
    <w:rsid w:val="00D31905"/>
    <w:rsid w:val="00D3456C"/>
    <w:rsid w:val="00D347F5"/>
    <w:rsid w:val="00D3615A"/>
    <w:rsid w:val="00D364BC"/>
    <w:rsid w:val="00D36770"/>
    <w:rsid w:val="00D36E71"/>
    <w:rsid w:val="00D37D87"/>
    <w:rsid w:val="00D40B33"/>
    <w:rsid w:val="00D414F9"/>
    <w:rsid w:val="00D4318F"/>
    <w:rsid w:val="00D438BF"/>
    <w:rsid w:val="00D43FA7"/>
    <w:rsid w:val="00D440F8"/>
    <w:rsid w:val="00D44547"/>
    <w:rsid w:val="00D46A96"/>
    <w:rsid w:val="00D46FF9"/>
    <w:rsid w:val="00D476E3"/>
    <w:rsid w:val="00D51161"/>
    <w:rsid w:val="00D53850"/>
    <w:rsid w:val="00D53B31"/>
    <w:rsid w:val="00D546FF"/>
    <w:rsid w:val="00D55AD5"/>
    <w:rsid w:val="00D576CA"/>
    <w:rsid w:val="00D60831"/>
    <w:rsid w:val="00D61AF5"/>
    <w:rsid w:val="00D63640"/>
    <w:rsid w:val="00D652B5"/>
    <w:rsid w:val="00D66155"/>
    <w:rsid w:val="00D708B0"/>
    <w:rsid w:val="00D72D77"/>
    <w:rsid w:val="00D73DFC"/>
    <w:rsid w:val="00D759F5"/>
    <w:rsid w:val="00D76EE7"/>
    <w:rsid w:val="00D77B1D"/>
    <w:rsid w:val="00D8021F"/>
    <w:rsid w:val="00D80383"/>
    <w:rsid w:val="00D8126F"/>
    <w:rsid w:val="00D823C6"/>
    <w:rsid w:val="00D8297C"/>
    <w:rsid w:val="00D8327F"/>
    <w:rsid w:val="00D861F9"/>
    <w:rsid w:val="00D86CA3"/>
    <w:rsid w:val="00D871CE"/>
    <w:rsid w:val="00D9196D"/>
    <w:rsid w:val="00D9280D"/>
    <w:rsid w:val="00D92982"/>
    <w:rsid w:val="00D945C4"/>
    <w:rsid w:val="00D9496F"/>
    <w:rsid w:val="00D94E28"/>
    <w:rsid w:val="00D97D13"/>
    <w:rsid w:val="00DA0FBB"/>
    <w:rsid w:val="00DA305E"/>
    <w:rsid w:val="00DA3120"/>
    <w:rsid w:val="00DA5417"/>
    <w:rsid w:val="00DA56E8"/>
    <w:rsid w:val="00DA73FA"/>
    <w:rsid w:val="00DB0A9F"/>
    <w:rsid w:val="00DB0D1B"/>
    <w:rsid w:val="00DB377D"/>
    <w:rsid w:val="00DC071C"/>
    <w:rsid w:val="00DC2D36"/>
    <w:rsid w:val="00DC3C6F"/>
    <w:rsid w:val="00DC3EF7"/>
    <w:rsid w:val="00DC530E"/>
    <w:rsid w:val="00DC53EF"/>
    <w:rsid w:val="00DC5D07"/>
    <w:rsid w:val="00DD0F85"/>
    <w:rsid w:val="00DD2345"/>
    <w:rsid w:val="00DD2768"/>
    <w:rsid w:val="00DD3729"/>
    <w:rsid w:val="00DD3891"/>
    <w:rsid w:val="00DD51C1"/>
    <w:rsid w:val="00DD6996"/>
    <w:rsid w:val="00DD7554"/>
    <w:rsid w:val="00DE1E1E"/>
    <w:rsid w:val="00DE3A37"/>
    <w:rsid w:val="00DE5608"/>
    <w:rsid w:val="00DE58D0"/>
    <w:rsid w:val="00DE654F"/>
    <w:rsid w:val="00DE75C7"/>
    <w:rsid w:val="00DE7B31"/>
    <w:rsid w:val="00DF0B6E"/>
    <w:rsid w:val="00DF15E0"/>
    <w:rsid w:val="00DF37A0"/>
    <w:rsid w:val="00DF4A8E"/>
    <w:rsid w:val="00DF6D68"/>
    <w:rsid w:val="00DF79FD"/>
    <w:rsid w:val="00DF7BFD"/>
    <w:rsid w:val="00E00BD0"/>
    <w:rsid w:val="00E05E98"/>
    <w:rsid w:val="00E07064"/>
    <w:rsid w:val="00E07DA9"/>
    <w:rsid w:val="00E110E7"/>
    <w:rsid w:val="00E11B20"/>
    <w:rsid w:val="00E11D95"/>
    <w:rsid w:val="00E1396E"/>
    <w:rsid w:val="00E16504"/>
    <w:rsid w:val="00E175AA"/>
    <w:rsid w:val="00E17643"/>
    <w:rsid w:val="00E17FA2"/>
    <w:rsid w:val="00E218BB"/>
    <w:rsid w:val="00E22330"/>
    <w:rsid w:val="00E22689"/>
    <w:rsid w:val="00E229DE"/>
    <w:rsid w:val="00E268FF"/>
    <w:rsid w:val="00E270E5"/>
    <w:rsid w:val="00E30024"/>
    <w:rsid w:val="00E30B5A"/>
    <w:rsid w:val="00E30DDA"/>
    <w:rsid w:val="00E3123D"/>
    <w:rsid w:val="00E31461"/>
    <w:rsid w:val="00E31AD2"/>
    <w:rsid w:val="00E31D43"/>
    <w:rsid w:val="00E32608"/>
    <w:rsid w:val="00E34188"/>
    <w:rsid w:val="00E34A05"/>
    <w:rsid w:val="00E34B6E"/>
    <w:rsid w:val="00E35559"/>
    <w:rsid w:val="00E36BD9"/>
    <w:rsid w:val="00E3723A"/>
    <w:rsid w:val="00E37860"/>
    <w:rsid w:val="00E40253"/>
    <w:rsid w:val="00E40533"/>
    <w:rsid w:val="00E42720"/>
    <w:rsid w:val="00E42A7A"/>
    <w:rsid w:val="00E446F1"/>
    <w:rsid w:val="00E452CA"/>
    <w:rsid w:val="00E454AB"/>
    <w:rsid w:val="00E46886"/>
    <w:rsid w:val="00E47AEF"/>
    <w:rsid w:val="00E53B75"/>
    <w:rsid w:val="00E53E1B"/>
    <w:rsid w:val="00E54E3B"/>
    <w:rsid w:val="00E57565"/>
    <w:rsid w:val="00E61846"/>
    <w:rsid w:val="00E63838"/>
    <w:rsid w:val="00E64434"/>
    <w:rsid w:val="00E6533A"/>
    <w:rsid w:val="00E6724B"/>
    <w:rsid w:val="00E67C51"/>
    <w:rsid w:val="00E7138B"/>
    <w:rsid w:val="00E717DE"/>
    <w:rsid w:val="00E72EFC"/>
    <w:rsid w:val="00E758EC"/>
    <w:rsid w:val="00E801FD"/>
    <w:rsid w:val="00E80E41"/>
    <w:rsid w:val="00E8234C"/>
    <w:rsid w:val="00E82401"/>
    <w:rsid w:val="00E83AA9"/>
    <w:rsid w:val="00E85928"/>
    <w:rsid w:val="00E87822"/>
    <w:rsid w:val="00E90395"/>
    <w:rsid w:val="00E90E49"/>
    <w:rsid w:val="00E917F9"/>
    <w:rsid w:val="00E9291C"/>
    <w:rsid w:val="00E93FFE"/>
    <w:rsid w:val="00E94F8A"/>
    <w:rsid w:val="00E95A4B"/>
    <w:rsid w:val="00EA109A"/>
    <w:rsid w:val="00EA11A9"/>
    <w:rsid w:val="00EA5D70"/>
    <w:rsid w:val="00EA716A"/>
    <w:rsid w:val="00EA7A41"/>
    <w:rsid w:val="00EB077B"/>
    <w:rsid w:val="00EB08D8"/>
    <w:rsid w:val="00EB08F2"/>
    <w:rsid w:val="00EB154F"/>
    <w:rsid w:val="00EB3921"/>
    <w:rsid w:val="00EB4480"/>
    <w:rsid w:val="00EB4EA2"/>
    <w:rsid w:val="00EB6199"/>
    <w:rsid w:val="00EB6C3D"/>
    <w:rsid w:val="00EB7018"/>
    <w:rsid w:val="00EB7B3A"/>
    <w:rsid w:val="00EC0F75"/>
    <w:rsid w:val="00EC24D5"/>
    <w:rsid w:val="00EC27C6"/>
    <w:rsid w:val="00EC3624"/>
    <w:rsid w:val="00EC3D50"/>
    <w:rsid w:val="00EC4207"/>
    <w:rsid w:val="00EC5653"/>
    <w:rsid w:val="00EC6E59"/>
    <w:rsid w:val="00EC71CE"/>
    <w:rsid w:val="00ED04EB"/>
    <w:rsid w:val="00ED0763"/>
    <w:rsid w:val="00ED1006"/>
    <w:rsid w:val="00ED5471"/>
    <w:rsid w:val="00EE0263"/>
    <w:rsid w:val="00EE3FB6"/>
    <w:rsid w:val="00EE4653"/>
    <w:rsid w:val="00EE7656"/>
    <w:rsid w:val="00EF18FE"/>
    <w:rsid w:val="00EF53BD"/>
    <w:rsid w:val="00EF5787"/>
    <w:rsid w:val="00EF60D0"/>
    <w:rsid w:val="00EF6BC2"/>
    <w:rsid w:val="00EF7B34"/>
    <w:rsid w:val="00EF7FCE"/>
    <w:rsid w:val="00EF7FE9"/>
    <w:rsid w:val="00F01C9F"/>
    <w:rsid w:val="00F029AA"/>
    <w:rsid w:val="00F04368"/>
    <w:rsid w:val="00F0528D"/>
    <w:rsid w:val="00F06C67"/>
    <w:rsid w:val="00F06DFD"/>
    <w:rsid w:val="00F071D1"/>
    <w:rsid w:val="00F07533"/>
    <w:rsid w:val="00F10629"/>
    <w:rsid w:val="00F15C34"/>
    <w:rsid w:val="00F15FA5"/>
    <w:rsid w:val="00F209B7"/>
    <w:rsid w:val="00F21753"/>
    <w:rsid w:val="00F22E53"/>
    <w:rsid w:val="00F2376F"/>
    <w:rsid w:val="00F2414F"/>
    <w:rsid w:val="00F243D8"/>
    <w:rsid w:val="00F24760"/>
    <w:rsid w:val="00F24D05"/>
    <w:rsid w:val="00F27047"/>
    <w:rsid w:val="00F27CFA"/>
    <w:rsid w:val="00F300C6"/>
    <w:rsid w:val="00F30828"/>
    <w:rsid w:val="00F313D6"/>
    <w:rsid w:val="00F33CF8"/>
    <w:rsid w:val="00F36FB9"/>
    <w:rsid w:val="00F40F0C"/>
    <w:rsid w:val="00F42A75"/>
    <w:rsid w:val="00F430B9"/>
    <w:rsid w:val="00F44230"/>
    <w:rsid w:val="00F446CD"/>
    <w:rsid w:val="00F4517A"/>
    <w:rsid w:val="00F4532B"/>
    <w:rsid w:val="00F464B9"/>
    <w:rsid w:val="00F4766C"/>
    <w:rsid w:val="00F5017D"/>
    <w:rsid w:val="00F5060E"/>
    <w:rsid w:val="00F507D1"/>
    <w:rsid w:val="00F519CE"/>
    <w:rsid w:val="00F51ADA"/>
    <w:rsid w:val="00F537D6"/>
    <w:rsid w:val="00F54EED"/>
    <w:rsid w:val="00F55ADF"/>
    <w:rsid w:val="00F60203"/>
    <w:rsid w:val="00F6073E"/>
    <w:rsid w:val="00F607C5"/>
    <w:rsid w:val="00F60DEA"/>
    <w:rsid w:val="00F62AC2"/>
    <w:rsid w:val="00F6302A"/>
    <w:rsid w:val="00F63950"/>
    <w:rsid w:val="00F64C2B"/>
    <w:rsid w:val="00F651BE"/>
    <w:rsid w:val="00F67F53"/>
    <w:rsid w:val="00F703BE"/>
    <w:rsid w:val="00F71F69"/>
    <w:rsid w:val="00F72483"/>
    <w:rsid w:val="00F72B72"/>
    <w:rsid w:val="00F72E88"/>
    <w:rsid w:val="00F74BB9"/>
    <w:rsid w:val="00F75582"/>
    <w:rsid w:val="00F763F9"/>
    <w:rsid w:val="00F76EFA"/>
    <w:rsid w:val="00F77C98"/>
    <w:rsid w:val="00F804BE"/>
    <w:rsid w:val="00F811CB"/>
    <w:rsid w:val="00F817CE"/>
    <w:rsid w:val="00F81932"/>
    <w:rsid w:val="00F82BA7"/>
    <w:rsid w:val="00F8456C"/>
    <w:rsid w:val="00F859D8"/>
    <w:rsid w:val="00F868F5"/>
    <w:rsid w:val="00F9056A"/>
    <w:rsid w:val="00F9086A"/>
    <w:rsid w:val="00F90F8D"/>
    <w:rsid w:val="00F92782"/>
    <w:rsid w:val="00F93208"/>
    <w:rsid w:val="00F934CF"/>
    <w:rsid w:val="00F939A3"/>
    <w:rsid w:val="00F93AA9"/>
    <w:rsid w:val="00F96985"/>
    <w:rsid w:val="00F97838"/>
    <w:rsid w:val="00F97859"/>
    <w:rsid w:val="00F97D10"/>
    <w:rsid w:val="00FA2BB3"/>
    <w:rsid w:val="00FA3C27"/>
    <w:rsid w:val="00FA43A2"/>
    <w:rsid w:val="00FA7621"/>
    <w:rsid w:val="00FB1FD9"/>
    <w:rsid w:val="00FB1FDB"/>
    <w:rsid w:val="00FB2F6D"/>
    <w:rsid w:val="00FB4C80"/>
    <w:rsid w:val="00FB563C"/>
    <w:rsid w:val="00FB6A6A"/>
    <w:rsid w:val="00FB6F5E"/>
    <w:rsid w:val="00FB74F0"/>
    <w:rsid w:val="00FC34EA"/>
    <w:rsid w:val="00FC3DCF"/>
    <w:rsid w:val="00FC4936"/>
    <w:rsid w:val="00FC7090"/>
    <w:rsid w:val="00FC7429"/>
    <w:rsid w:val="00FD07BB"/>
    <w:rsid w:val="00FD07F6"/>
    <w:rsid w:val="00FD1EC8"/>
    <w:rsid w:val="00FD3463"/>
    <w:rsid w:val="00FD47ED"/>
    <w:rsid w:val="00FD74DB"/>
    <w:rsid w:val="00FD7660"/>
    <w:rsid w:val="00FE0655"/>
    <w:rsid w:val="00FE087F"/>
    <w:rsid w:val="00FE1791"/>
    <w:rsid w:val="00FE2365"/>
    <w:rsid w:val="00FE240F"/>
    <w:rsid w:val="00FE24FC"/>
    <w:rsid w:val="00FE309C"/>
    <w:rsid w:val="00FE30DB"/>
    <w:rsid w:val="00FE323D"/>
    <w:rsid w:val="00FE37D7"/>
    <w:rsid w:val="00FE49A2"/>
    <w:rsid w:val="00FE4C7B"/>
    <w:rsid w:val="00FE5D6F"/>
    <w:rsid w:val="00FE608F"/>
    <w:rsid w:val="00FE7336"/>
    <w:rsid w:val="00FE787C"/>
    <w:rsid w:val="00FF1CC9"/>
    <w:rsid w:val="00FF3614"/>
    <w:rsid w:val="00FF4430"/>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B13270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3CF4"/>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CC7601"/>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CC7601"/>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CC7601"/>
    <w:pPr>
      <w:numPr>
        <w:ilvl w:val="2"/>
      </w:numPr>
      <w:spacing w:before="120"/>
      <w:outlineLvl w:val="2"/>
    </w:pPr>
    <w:rPr>
      <w:sz w:val="28"/>
    </w:rPr>
  </w:style>
  <w:style w:type="paragraph" w:styleId="Heading4">
    <w:name w:val="heading 4"/>
    <w:basedOn w:val="Heading3"/>
    <w:next w:val="Normal"/>
    <w:link w:val="Heading4Char"/>
    <w:qFormat/>
    <w:rsid w:val="00CC7601"/>
    <w:pPr>
      <w:numPr>
        <w:ilvl w:val="3"/>
      </w:numPr>
      <w:outlineLvl w:val="3"/>
    </w:pPr>
    <w:rPr>
      <w:sz w:val="24"/>
    </w:rPr>
  </w:style>
  <w:style w:type="paragraph" w:styleId="Heading5">
    <w:name w:val="heading 5"/>
    <w:basedOn w:val="Heading4"/>
    <w:next w:val="Normal"/>
    <w:link w:val="Heading5Char"/>
    <w:qFormat/>
    <w:rsid w:val="00CC7601"/>
    <w:pPr>
      <w:numPr>
        <w:ilvl w:val="4"/>
      </w:numPr>
      <w:outlineLvl w:val="4"/>
    </w:pPr>
    <w:rPr>
      <w:sz w:val="22"/>
    </w:rPr>
  </w:style>
  <w:style w:type="paragraph" w:styleId="Heading6">
    <w:name w:val="heading 6"/>
    <w:basedOn w:val="H6"/>
    <w:next w:val="Normal"/>
    <w:link w:val="Heading6Char"/>
    <w:qFormat/>
    <w:rsid w:val="00CC7601"/>
    <w:pPr>
      <w:numPr>
        <w:ilvl w:val="5"/>
        <w:numId w:val="23"/>
      </w:numPr>
      <w:outlineLvl w:val="5"/>
    </w:pPr>
  </w:style>
  <w:style w:type="paragraph" w:styleId="Heading7">
    <w:name w:val="heading 7"/>
    <w:basedOn w:val="H6"/>
    <w:next w:val="Normal"/>
    <w:link w:val="Heading7Char"/>
    <w:qFormat/>
    <w:rsid w:val="00CC7601"/>
    <w:pPr>
      <w:numPr>
        <w:ilvl w:val="6"/>
        <w:numId w:val="23"/>
      </w:numPr>
      <w:outlineLvl w:val="6"/>
    </w:pPr>
  </w:style>
  <w:style w:type="paragraph" w:styleId="Heading8">
    <w:name w:val="heading 8"/>
    <w:basedOn w:val="Heading1"/>
    <w:next w:val="Normal"/>
    <w:link w:val="Heading8Char"/>
    <w:qFormat/>
    <w:rsid w:val="00CC7601"/>
    <w:pPr>
      <w:numPr>
        <w:ilvl w:val="7"/>
      </w:numPr>
      <w:outlineLvl w:val="7"/>
    </w:pPr>
  </w:style>
  <w:style w:type="paragraph" w:styleId="Heading9">
    <w:name w:val="heading 9"/>
    <w:basedOn w:val="Heading8"/>
    <w:next w:val="Normal"/>
    <w:link w:val="Heading9Char"/>
    <w:qFormat/>
    <w:rsid w:val="00CC7601"/>
    <w:pPr>
      <w:numPr>
        <w:ilvl w:val="8"/>
      </w:numPr>
      <w:outlineLvl w:val="8"/>
    </w:pPr>
  </w:style>
  <w:style w:type="character" w:default="1" w:styleId="DefaultParagraphFont">
    <w:name w:val="Default Paragraph Font"/>
    <w:uiPriority w:val="1"/>
    <w:semiHidden/>
    <w:unhideWhenUsed/>
    <w:rsid w:val="00A33CF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33CF4"/>
  </w:style>
  <w:style w:type="paragraph" w:styleId="TOC8">
    <w:name w:val="toc 8"/>
    <w:basedOn w:val="TOC1"/>
    <w:uiPriority w:val="39"/>
    <w:rsid w:val="00CC7601"/>
    <w:pPr>
      <w:spacing w:before="180"/>
      <w:ind w:left="2693" w:hanging="2693"/>
    </w:pPr>
    <w:rPr>
      <w:b/>
    </w:rPr>
  </w:style>
  <w:style w:type="paragraph" w:styleId="TOC1">
    <w:name w:val="toc 1"/>
    <w:uiPriority w:val="39"/>
    <w:rsid w:val="00CC760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CC7601"/>
    <w:pPr>
      <w:keepNext/>
      <w:keepLines/>
      <w:spacing w:before="180"/>
      <w:jc w:val="center"/>
    </w:pPr>
  </w:style>
  <w:style w:type="paragraph" w:styleId="Caption">
    <w:name w:val="caption"/>
    <w:basedOn w:val="Normal"/>
    <w:next w:val="Normal"/>
    <w:qFormat/>
    <w:rsid w:val="00CC7601"/>
    <w:pPr>
      <w:spacing w:before="120"/>
    </w:pPr>
    <w:rPr>
      <w:b/>
      <w:lang w:eastAsia="en-GB"/>
    </w:rPr>
  </w:style>
  <w:style w:type="paragraph" w:styleId="TOC5">
    <w:name w:val="toc 5"/>
    <w:basedOn w:val="TOC4"/>
    <w:uiPriority w:val="39"/>
    <w:rsid w:val="00CC7601"/>
    <w:pPr>
      <w:ind w:left="1701" w:hanging="1701"/>
    </w:pPr>
  </w:style>
  <w:style w:type="paragraph" w:styleId="TOC4">
    <w:name w:val="toc 4"/>
    <w:basedOn w:val="TOC3"/>
    <w:uiPriority w:val="39"/>
    <w:rsid w:val="00CC7601"/>
    <w:pPr>
      <w:ind w:left="1418" w:hanging="1418"/>
    </w:pPr>
  </w:style>
  <w:style w:type="paragraph" w:styleId="TOC3">
    <w:name w:val="toc 3"/>
    <w:basedOn w:val="TOC2"/>
    <w:uiPriority w:val="39"/>
    <w:rsid w:val="00CC7601"/>
    <w:pPr>
      <w:ind w:left="1134" w:hanging="1134"/>
    </w:pPr>
  </w:style>
  <w:style w:type="paragraph" w:styleId="TOC2">
    <w:name w:val="toc 2"/>
    <w:basedOn w:val="TOC1"/>
    <w:uiPriority w:val="39"/>
    <w:rsid w:val="00CC7601"/>
    <w:pPr>
      <w:keepNext w:val="0"/>
      <w:spacing w:before="0"/>
      <w:ind w:left="851" w:hanging="851"/>
    </w:pPr>
    <w:rPr>
      <w:sz w:val="20"/>
    </w:rPr>
  </w:style>
  <w:style w:type="paragraph" w:styleId="Index2">
    <w:name w:val="index 2"/>
    <w:basedOn w:val="Index1"/>
    <w:rsid w:val="00CC7601"/>
    <w:pPr>
      <w:ind w:left="284"/>
    </w:pPr>
  </w:style>
  <w:style w:type="paragraph" w:styleId="Index1">
    <w:name w:val="index 1"/>
    <w:basedOn w:val="Normal"/>
    <w:rsid w:val="00CC7601"/>
    <w:pPr>
      <w:keepLines/>
    </w:pPr>
  </w:style>
  <w:style w:type="paragraph" w:styleId="DocumentMap">
    <w:name w:val="Document Map"/>
    <w:basedOn w:val="Normal"/>
    <w:link w:val="DocumentMapChar"/>
    <w:rsid w:val="00CC7601"/>
    <w:pPr>
      <w:shd w:val="clear" w:color="auto" w:fill="000080"/>
    </w:pPr>
    <w:rPr>
      <w:rFonts w:ascii="Tahoma" w:hAnsi="Tahoma" w:cs="Tahoma"/>
    </w:rPr>
  </w:style>
  <w:style w:type="paragraph" w:styleId="ListNumber2">
    <w:name w:val="List Number 2"/>
    <w:basedOn w:val="ListNumber"/>
    <w:rsid w:val="00CC7601"/>
    <w:pPr>
      <w:numPr>
        <w:numId w:val="22"/>
      </w:numPr>
    </w:pPr>
  </w:style>
  <w:style w:type="paragraph" w:styleId="ListNumber">
    <w:name w:val="List Number"/>
    <w:basedOn w:val="List"/>
    <w:rsid w:val="00CC7601"/>
    <w:pPr>
      <w:numPr>
        <w:numId w:val="21"/>
      </w:numPr>
    </w:pPr>
    <w:rPr>
      <w:lang w:eastAsia="ja-JP"/>
    </w:rPr>
  </w:style>
  <w:style w:type="paragraph" w:styleId="List">
    <w:name w:val="List"/>
    <w:basedOn w:val="BodyText"/>
    <w:rsid w:val="00CC7601"/>
    <w:pPr>
      <w:ind w:left="568" w:hanging="284"/>
    </w:pPr>
  </w:style>
  <w:style w:type="paragraph" w:styleId="Header">
    <w:name w:val="header"/>
    <w:link w:val="HeaderChar"/>
    <w:rsid w:val="00CC7601"/>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CC7601"/>
    <w:rPr>
      <w:b/>
      <w:position w:val="6"/>
      <w:sz w:val="16"/>
    </w:rPr>
  </w:style>
  <w:style w:type="paragraph" w:styleId="FootnoteText">
    <w:name w:val="footnote text"/>
    <w:basedOn w:val="Normal"/>
    <w:link w:val="FootnoteTextChar"/>
    <w:rsid w:val="00CC7601"/>
    <w:pPr>
      <w:keepLines/>
      <w:ind w:left="454" w:hanging="454"/>
    </w:pPr>
    <w:rPr>
      <w:sz w:val="16"/>
    </w:rPr>
  </w:style>
  <w:style w:type="paragraph" w:customStyle="1" w:styleId="3GPPHeader">
    <w:name w:val="3GPP_Header"/>
    <w:basedOn w:val="BodyText"/>
    <w:rsid w:val="00CC7601"/>
    <w:pPr>
      <w:tabs>
        <w:tab w:val="left" w:pos="1701"/>
        <w:tab w:val="right" w:pos="9639"/>
      </w:tabs>
      <w:spacing w:after="240"/>
    </w:pPr>
    <w:rPr>
      <w:b/>
    </w:rPr>
  </w:style>
  <w:style w:type="paragraph" w:styleId="TOC9">
    <w:name w:val="toc 9"/>
    <w:basedOn w:val="TOC8"/>
    <w:uiPriority w:val="39"/>
    <w:rsid w:val="00CC7601"/>
    <w:pPr>
      <w:ind w:left="1418" w:hanging="1418"/>
    </w:pPr>
  </w:style>
  <w:style w:type="paragraph" w:styleId="TOC6">
    <w:name w:val="toc 6"/>
    <w:basedOn w:val="TOC5"/>
    <w:next w:val="Normal"/>
    <w:uiPriority w:val="39"/>
    <w:rsid w:val="00CC7601"/>
    <w:pPr>
      <w:ind w:left="1985" w:hanging="1985"/>
    </w:pPr>
  </w:style>
  <w:style w:type="paragraph" w:styleId="TOC7">
    <w:name w:val="toc 7"/>
    <w:basedOn w:val="TOC6"/>
    <w:next w:val="Normal"/>
    <w:uiPriority w:val="39"/>
    <w:rsid w:val="00CC7601"/>
    <w:pPr>
      <w:ind w:left="2268" w:hanging="2268"/>
    </w:pPr>
  </w:style>
  <w:style w:type="paragraph" w:styleId="ListBullet2">
    <w:name w:val="List Bullet 2"/>
    <w:basedOn w:val="ListBullet"/>
    <w:rsid w:val="00CC7601"/>
    <w:pPr>
      <w:numPr>
        <w:numId w:val="17"/>
      </w:numPr>
    </w:pPr>
  </w:style>
  <w:style w:type="paragraph" w:styleId="ListBullet">
    <w:name w:val="List Bullet"/>
    <w:basedOn w:val="List"/>
    <w:rsid w:val="00CC7601"/>
    <w:pPr>
      <w:numPr>
        <w:numId w:val="16"/>
      </w:numPr>
    </w:pPr>
    <w:rPr>
      <w:lang w:eastAsia="ja-JP"/>
    </w:rPr>
  </w:style>
  <w:style w:type="paragraph" w:styleId="ListBullet3">
    <w:name w:val="List Bullet 3"/>
    <w:basedOn w:val="ListBullet2"/>
    <w:rsid w:val="00CC7601"/>
    <w:pPr>
      <w:numPr>
        <w:numId w:val="18"/>
      </w:numPr>
    </w:pPr>
  </w:style>
  <w:style w:type="paragraph" w:customStyle="1" w:styleId="EQ">
    <w:name w:val="EQ"/>
    <w:basedOn w:val="Normal"/>
    <w:next w:val="Normal"/>
    <w:rsid w:val="00CC7601"/>
    <w:pPr>
      <w:keepLines/>
      <w:tabs>
        <w:tab w:val="center" w:pos="4536"/>
        <w:tab w:val="right" w:pos="9072"/>
      </w:tabs>
    </w:pPr>
    <w:rPr>
      <w:noProof/>
    </w:rPr>
  </w:style>
  <w:style w:type="paragraph" w:styleId="List2">
    <w:name w:val="List 2"/>
    <w:basedOn w:val="List"/>
    <w:rsid w:val="00CC7601"/>
    <w:pPr>
      <w:ind w:left="851"/>
    </w:pPr>
    <w:rPr>
      <w:lang w:eastAsia="ja-JP"/>
    </w:rPr>
  </w:style>
  <w:style w:type="paragraph" w:styleId="List3">
    <w:name w:val="List 3"/>
    <w:basedOn w:val="List2"/>
    <w:rsid w:val="00CC7601"/>
    <w:pPr>
      <w:ind w:left="1135"/>
    </w:pPr>
  </w:style>
  <w:style w:type="paragraph" w:styleId="List4">
    <w:name w:val="List 4"/>
    <w:basedOn w:val="List3"/>
    <w:rsid w:val="00CC7601"/>
    <w:pPr>
      <w:ind w:left="1418"/>
    </w:pPr>
  </w:style>
  <w:style w:type="paragraph" w:styleId="List5">
    <w:name w:val="List 5"/>
    <w:basedOn w:val="List4"/>
    <w:rsid w:val="00CC7601"/>
    <w:pPr>
      <w:ind w:left="1702"/>
    </w:pPr>
  </w:style>
  <w:style w:type="paragraph" w:customStyle="1" w:styleId="EditorsNote">
    <w:name w:val="Editor's Note"/>
    <w:basedOn w:val="NO"/>
    <w:link w:val="EditorsNoteChar"/>
    <w:rsid w:val="00CC7601"/>
    <w:rPr>
      <w:color w:val="FF0000"/>
      <w:lang w:val="x-none" w:eastAsia="x-none"/>
    </w:rPr>
  </w:style>
  <w:style w:type="paragraph" w:styleId="ListBullet4">
    <w:name w:val="List Bullet 4"/>
    <w:basedOn w:val="ListBullet3"/>
    <w:rsid w:val="00CC7601"/>
    <w:pPr>
      <w:numPr>
        <w:numId w:val="19"/>
      </w:numPr>
    </w:pPr>
  </w:style>
  <w:style w:type="paragraph" w:styleId="ListBullet5">
    <w:name w:val="List Bullet 5"/>
    <w:basedOn w:val="ListBullet4"/>
    <w:rsid w:val="00CC7601"/>
    <w:pPr>
      <w:numPr>
        <w:numId w:val="20"/>
      </w:numPr>
    </w:pPr>
  </w:style>
  <w:style w:type="paragraph" w:styleId="Footer">
    <w:name w:val="footer"/>
    <w:basedOn w:val="Header"/>
    <w:link w:val="FooterChar"/>
    <w:rsid w:val="00CC7601"/>
    <w:pPr>
      <w:jc w:val="center"/>
    </w:pPr>
    <w:rPr>
      <w:i/>
    </w:rPr>
  </w:style>
  <w:style w:type="paragraph" w:customStyle="1" w:styleId="Reference">
    <w:name w:val="Reference"/>
    <w:basedOn w:val="BodyText"/>
    <w:link w:val="ReferenceChar"/>
    <w:qFormat/>
    <w:rsid w:val="00CC7601"/>
    <w:pPr>
      <w:numPr>
        <w:numId w:val="2"/>
      </w:numPr>
    </w:pPr>
  </w:style>
  <w:style w:type="paragraph" w:styleId="BalloonText">
    <w:name w:val="Balloon Text"/>
    <w:basedOn w:val="Normal"/>
    <w:link w:val="BalloonTextChar"/>
    <w:rsid w:val="00CC7601"/>
    <w:rPr>
      <w:rFonts w:ascii="Segoe UI" w:hAnsi="Segoe UI" w:cs="Segoe UI"/>
      <w:sz w:val="18"/>
      <w:szCs w:val="18"/>
    </w:rPr>
  </w:style>
  <w:style w:type="character" w:styleId="PageNumber">
    <w:name w:val="page number"/>
    <w:basedOn w:val="DefaultParagraphFont"/>
    <w:rsid w:val="00CC7601"/>
  </w:style>
  <w:style w:type="paragraph" w:styleId="BodyText">
    <w:name w:val="Body Text"/>
    <w:basedOn w:val="Normal"/>
    <w:link w:val="BodyTextChar"/>
    <w:qFormat/>
    <w:rsid w:val="00CC7601"/>
  </w:style>
  <w:style w:type="character" w:styleId="Hyperlink">
    <w:name w:val="Hyperlink"/>
    <w:uiPriority w:val="99"/>
    <w:rsid w:val="00CC7601"/>
    <w:rPr>
      <w:color w:val="0000FF"/>
      <w:u w:val="single"/>
    </w:rPr>
  </w:style>
  <w:style w:type="character" w:styleId="FollowedHyperlink">
    <w:name w:val="FollowedHyperlink"/>
    <w:unhideWhenUsed/>
    <w:rsid w:val="00CC7601"/>
    <w:rPr>
      <w:color w:val="800080"/>
      <w:u w:val="single"/>
    </w:rPr>
  </w:style>
  <w:style w:type="character" w:styleId="CommentReference">
    <w:name w:val="annotation reference"/>
    <w:uiPriority w:val="99"/>
    <w:qFormat/>
    <w:rsid w:val="00CC7601"/>
    <w:rPr>
      <w:sz w:val="16"/>
      <w:szCs w:val="16"/>
    </w:rPr>
  </w:style>
  <w:style w:type="paragraph" w:styleId="CommentText">
    <w:name w:val="annotation text"/>
    <w:basedOn w:val="Normal"/>
    <w:link w:val="CommentTextChar"/>
    <w:uiPriority w:val="99"/>
    <w:qFormat/>
    <w:rsid w:val="00CC7601"/>
  </w:style>
  <w:style w:type="paragraph" w:styleId="CommentSubject">
    <w:name w:val="annotation subject"/>
    <w:basedOn w:val="CommentText"/>
    <w:next w:val="CommentText"/>
    <w:link w:val="CommentSubjectChar"/>
    <w:rsid w:val="00CC7601"/>
    <w:rPr>
      <w:b/>
      <w:bCs/>
    </w:rPr>
  </w:style>
  <w:style w:type="character" w:customStyle="1" w:styleId="Heading1Char">
    <w:name w:val="Heading 1 Char"/>
    <w:link w:val="Heading1"/>
    <w:rsid w:val="00CC7601"/>
    <w:rPr>
      <w:rFonts w:ascii="Arial" w:hAnsi="Arial"/>
      <w:sz w:val="36"/>
      <w:lang w:eastAsia="ja-JP"/>
    </w:rPr>
  </w:style>
  <w:style w:type="paragraph" w:customStyle="1" w:styleId="B1">
    <w:name w:val="B1"/>
    <w:basedOn w:val="List"/>
    <w:link w:val="B1Char1"/>
    <w:rsid w:val="00CC7601"/>
    <w:rPr>
      <w:rFonts w:ascii="Times New Roman" w:hAnsi="Times New Roman"/>
    </w:rPr>
  </w:style>
  <w:style w:type="paragraph" w:customStyle="1" w:styleId="B2">
    <w:name w:val="B2"/>
    <w:basedOn w:val="List2"/>
    <w:link w:val="B2Char"/>
    <w:rsid w:val="00CC7601"/>
    <w:rPr>
      <w:rFonts w:ascii="Times New Roman" w:hAnsi="Times New Roman"/>
    </w:rPr>
  </w:style>
  <w:style w:type="paragraph" w:customStyle="1" w:styleId="B3">
    <w:name w:val="B3"/>
    <w:basedOn w:val="List3"/>
    <w:link w:val="B3Char2"/>
    <w:rsid w:val="00CC7601"/>
    <w:rPr>
      <w:rFonts w:ascii="Times New Roman" w:hAnsi="Times New Roman"/>
    </w:rPr>
  </w:style>
  <w:style w:type="paragraph" w:customStyle="1" w:styleId="B4">
    <w:name w:val="B4"/>
    <w:basedOn w:val="List4"/>
    <w:link w:val="B4Char"/>
    <w:rsid w:val="00CC7601"/>
    <w:rPr>
      <w:rFonts w:ascii="Times New Roman" w:hAnsi="Times New Roman"/>
    </w:rPr>
  </w:style>
  <w:style w:type="paragraph" w:customStyle="1" w:styleId="Proposal">
    <w:name w:val="Proposal"/>
    <w:basedOn w:val="BodyText"/>
    <w:qFormat/>
    <w:rsid w:val="00CC7601"/>
    <w:pPr>
      <w:numPr>
        <w:numId w:val="3"/>
      </w:numPr>
      <w:tabs>
        <w:tab w:val="clear" w:pos="1304"/>
        <w:tab w:val="left" w:pos="1701"/>
      </w:tabs>
      <w:ind w:left="1701" w:hanging="1701"/>
    </w:pPr>
    <w:rPr>
      <w:b/>
      <w:bCs/>
    </w:rPr>
  </w:style>
  <w:style w:type="character" w:customStyle="1" w:styleId="BodyTextChar">
    <w:name w:val="Body Text Char"/>
    <w:link w:val="BodyText"/>
    <w:rsid w:val="00CC7601"/>
    <w:rPr>
      <w:rFonts w:ascii="Arial" w:hAnsi="Arial"/>
      <w:lang w:val="en-US" w:eastAsia="zh-CN"/>
    </w:rPr>
  </w:style>
  <w:style w:type="paragraph" w:customStyle="1" w:styleId="B5">
    <w:name w:val="B5"/>
    <w:basedOn w:val="List5"/>
    <w:link w:val="B5Char"/>
    <w:rsid w:val="00CC7601"/>
    <w:rPr>
      <w:rFonts w:ascii="Times New Roman" w:hAnsi="Times New Roman"/>
    </w:rPr>
  </w:style>
  <w:style w:type="paragraph" w:customStyle="1" w:styleId="EX">
    <w:name w:val="EX"/>
    <w:basedOn w:val="Normal"/>
    <w:rsid w:val="00CC7601"/>
    <w:pPr>
      <w:keepLines/>
      <w:ind w:left="1702" w:hanging="1418"/>
    </w:pPr>
  </w:style>
  <w:style w:type="paragraph" w:customStyle="1" w:styleId="EW">
    <w:name w:val="EW"/>
    <w:basedOn w:val="EX"/>
    <w:rsid w:val="00CC7601"/>
  </w:style>
  <w:style w:type="paragraph" w:customStyle="1" w:styleId="TAL">
    <w:name w:val="TAL"/>
    <w:basedOn w:val="Normal"/>
    <w:link w:val="TALCar"/>
    <w:rsid w:val="00CC7601"/>
    <w:pPr>
      <w:keepNext/>
      <w:keepLines/>
    </w:pPr>
    <w:rPr>
      <w:sz w:val="18"/>
      <w:lang w:val="x-none" w:eastAsia="x-none"/>
    </w:rPr>
  </w:style>
  <w:style w:type="paragraph" w:customStyle="1" w:styleId="TAC">
    <w:name w:val="TAC"/>
    <w:basedOn w:val="TAL"/>
    <w:rsid w:val="00CC7601"/>
    <w:pPr>
      <w:jc w:val="center"/>
    </w:pPr>
  </w:style>
  <w:style w:type="paragraph" w:customStyle="1" w:styleId="TAH">
    <w:name w:val="TAH"/>
    <w:basedOn w:val="TAC"/>
    <w:link w:val="TAHCar"/>
    <w:rsid w:val="00CC7601"/>
    <w:rPr>
      <w:b/>
    </w:rPr>
  </w:style>
  <w:style w:type="paragraph" w:customStyle="1" w:styleId="TAN">
    <w:name w:val="TAN"/>
    <w:basedOn w:val="TAL"/>
    <w:rsid w:val="00CC7601"/>
    <w:pPr>
      <w:ind w:left="851" w:hanging="851"/>
    </w:pPr>
  </w:style>
  <w:style w:type="paragraph" w:customStyle="1" w:styleId="TAR">
    <w:name w:val="TAR"/>
    <w:basedOn w:val="TAL"/>
    <w:rsid w:val="00CC7601"/>
    <w:pPr>
      <w:jc w:val="right"/>
    </w:pPr>
  </w:style>
  <w:style w:type="paragraph" w:customStyle="1" w:styleId="TH">
    <w:name w:val="TH"/>
    <w:basedOn w:val="Normal"/>
    <w:link w:val="THChar"/>
    <w:rsid w:val="00CC7601"/>
    <w:pPr>
      <w:keepNext/>
      <w:keepLines/>
      <w:spacing w:before="60"/>
      <w:jc w:val="center"/>
    </w:pPr>
    <w:rPr>
      <w:b/>
      <w:lang w:val="x-none" w:eastAsia="x-none"/>
    </w:rPr>
  </w:style>
  <w:style w:type="paragraph" w:customStyle="1" w:styleId="TF">
    <w:name w:val="TF"/>
    <w:basedOn w:val="TH"/>
    <w:link w:val="TFChar"/>
    <w:rsid w:val="00CC7601"/>
    <w:pPr>
      <w:keepNext w:val="0"/>
      <w:spacing w:before="0" w:after="240"/>
    </w:pPr>
  </w:style>
  <w:style w:type="paragraph" w:customStyle="1" w:styleId="TT">
    <w:name w:val="TT"/>
    <w:basedOn w:val="Heading1"/>
    <w:next w:val="Normal"/>
    <w:rsid w:val="00CC7601"/>
    <w:pPr>
      <w:numPr>
        <w:numId w:val="0"/>
      </w:numPr>
      <w:ind w:left="1134" w:hanging="1134"/>
      <w:outlineLvl w:val="9"/>
    </w:pPr>
  </w:style>
  <w:style w:type="paragraph" w:customStyle="1" w:styleId="ZA">
    <w:name w:val="ZA"/>
    <w:rsid w:val="00CC76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CC76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CC760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CC76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CC7601"/>
  </w:style>
  <w:style w:type="paragraph" w:customStyle="1" w:styleId="ZH">
    <w:name w:val="ZH"/>
    <w:rsid w:val="00CC760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CC76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CC7601"/>
    <w:pPr>
      <w:framePr w:hRule="auto" w:wrap="notBeside" w:y="852"/>
    </w:pPr>
    <w:rPr>
      <w:i w:val="0"/>
      <w:sz w:val="40"/>
    </w:rPr>
  </w:style>
  <w:style w:type="paragraph" w:customStyle="1" w:styleId="ZU">
    <w:name w:val="ZU"/>
    <w:rsid w:val="00CC76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CC7601"/>
    <w:pPr>
      <w:framePr w:wrap="notBeside" w:y="16161"/>
    </w:pPr>
  </w:style>
  <w:style w:type="paragraph" w:customStyle="1" w:styleId="FP">
    <w:name w:val="FP"/>
    <w:basedOn w:val="Normal"/>
    <w:rsid w:val="00CC7601"/>
  </w:style>
  <w:style w:type="paragraph" w:customStyle="1" w:styleId="Observation">
    <w:name w:val="Observation"/>
    <w:basedOn w:val="Proposal"/>
    <w:qFormat/>
    <w:rsid w:val="00CC7601"/>
    <w:pPr>
      <w:numPr>
        <w:numId w:val="13"/>
      </w:numPr>
      <w:ind w:left="1701" w:hanging="1701"/>
    </w:pPr>
    <w:rPr>
      <w:lang w:eastAsia="ja-JP"/>
    </w:rPr>
  </w:style>
  <w:style w:type="paragraph" w:styleId="TableofFigures">
    <w:name w:val="table of figures"/>
    <w:basedOn w:val="BodyText"/>
    <w:next w:val="Normal"/>
    <w:uiPriority w:val="99"/>
    <w:rsid w:val="00CC7601"/>
    <w:pPr>
      <w:ind w:left="1701" w:hanging="1701"/>
    </w:pPr>
    <w:rPr>
      <w:b/>
    </w:rPr>
  </w:style>
  <w:style w:type="character" w:customStyle="1" w:styleId="B1Char1">
    <w:name w:val="B1 Char1"/>
    <w:link w:val="B1"/>
    <w:qFormat/>
    <w:rsid w:val="00CC7601"/>
    <w:rPr>
      <w:rFonts w:ascii="Times New Roman" w:hAnsi="Times New Roman"/>
      <w:lang w:val="en-US" w:eastAsia="zh-CN"/>
    </w:rPr>
  </w:style>
  <w:style w:type="character" w:customStyle="1" w:styleId="B2Char">
    <w:name w:val="B2 Char"/>
    <w:link w:val="B2"/>
    <w:qFormat/>
    <w:rsid w:val="00CC7601"/>
    <w:rPr>
      <w:rFonts w:ascii="Times New Roman" w:hAnsi="Times New Roman"/>
      <w:lang w:val="en-US" w:eastAsia="ja-JP"/>
    </w:rPr>
  </w:style>
  <w:style w:type="character" w:customStyle="1" w:styleId="B3Char2">
    <w:name w:val="B3 Char2"/>
    <w:link w:val="B3"/>
    <w:qFormat/>
    <w:rsid w:val="00CC7601"/>
    <w:rPr>
      <w:rFonts w:ascii="Times New Roman" w:hAnsi="Times New Roman"/>
      <w:lang w:val="en-US" w:eastAsia="ja-JP"/>
    </w:rPr>
  </w:style>
  <w:style w:type="character" w:customStyle="1" w:styleId="B4Char">
    <w:name w:val="B4 Char"/>
    <w:link w:val="B4"/>
    <w:rsid w:val="00CC7601"/>
    <w:rPr>
      <w:rFonts w:ascii="Times New Roman" w:hAnsi="Times New Roman"/>
      <w:lang w:val="en-US" w:eastAsia="ja-JP"/>
    </w:rPr>
  </w:style>
  <w:style w:type="character" w:customStyle="1" w:styleId="B5Char">
    <w:name w:val="B5 Char"/>
    <w:link w:val="B5"/>
    <w:rsid w:val="00CC7601"/>
    <w:rPr>
      <w:rFonts w:ascii="Times New Roman" w:hAnsi="Times New Roman"/>
      <w:lang w:val="en-US" w:eastAsia="ja-JP"/>
    </w:rPr>
  </w:style>
  <w:style w:type="paragraph" w:customStyle="1" w:styleId="B6">
    <w:name w:val="B6"/>
    <w:basedOn w:val="B5"/>
    <w:link w:val="B6Char"/>
    <w:rsid w:val="00CC7601"/>
    <w:pPr>
      <w:ind w:left="1985"/>
    </w:pPr>
  </w:style>
  <w:style w:type="character" w:customStyle="1" w:styleId="B6Char">
    <w:name w:val="B6 Char"/>
    <w:link w:val="B6"/>
    <w:rsid w:val="00CC7601"/>
    <w:rPr>
      <w:rFonts w:ascii="Times New Roman" w:hAnsi="Times New Roman"/>
      <w:lang w:val="en-US" w:eastAsia="ja-JP"/>
    </w:rPr>
  </w:style>
  <w:style w:type="paragraph" w:customStyle="1" w:styleId="B7">
    <w:name w:val="B7"/>
    <w:basedOn w:val="B6"/>
    <w:link w:val="B7Char"/>
    <w:rsid w:val="00CC7601"/>
    <w:pPr>
      <w:ind w:left="2269"/>
    </w:pPr>
  </w:style>
  <w:style w:type="character" w:customStyle="1" w:styleId="B7Char">
    <w:name w:val="B7 Char"/>
    <w:basedOn w:val="B6Char"/>
    <w:link w:val="B7"/>
    <w:rsid w:val="00CC7601"/>
    <w:rPr>
      <w:rFonts w:ascii="Times New Roman" w:hAnsi="Times New Roman"/>
      <w:lang w:val="en-US" w:eastAsia="ja-JP"/>
    </w:rPr>
  </w:style>
  <w:style w:type="paragraph" w:customStyle="1" w:styleId="B8">
    <w:name w:val="B8"/>
    <w:basedOn w:val="B7"/>
    <w:qFormat/>
    <w:rsid w:val="00CC7601"/>
    <w:pPr>
      <w:ind w:left="2552"/>
    </w:pPr>
  </w:style>
  <w:style w:type="character" w:customStyle="1" w:styleId="BalloonTextChar">
    <w:name w:val="Balloon Text Char"/>
    <w:link w:val="BalloonText"/>
    <w:rsid w:val="00CC7601"/>
    <w:rPr>
      <w:rFonts w:ascii="Segoe UI" w:eastAsiaTheme="minorHAnsi" w:hAnsi="Segoe UI" w:cs="Segoe UI"/>
      <w:sz w:val="18"/>
      <w:szCs w:val="18"/>
      <w:lang w:val="en-US" w:eastAsia="en-US"/>
    </w:rPr>
  </w:style>
  <w:style w:type="character" w:customStyle="1" w:styleId="CommentTextChar">
    <w:name w:val="Comment Text Char"/>
    <w:link w:val="CommentText"/>
    <w:uiPriority w:val="99"/>
    <w:qFormat/>
    <w:rsid w:val="00CC7601"/>
    <w:rPr>
      <w:rFonts w:ascii="Arial" w:hAnsi="Arial"/>
      <w:lang w:val="en-US" w:eastAsia="zh-CN"/>
    </w:rPr>
  </w:style>
  <w:style w:type="character" w:customStyle="1" w:styleId="CommentSubjectChar">
    <w:name w:val="Comment Subject Char"/>
    <w:link w:val="CommentSubject"/>
    <w:rsid w:val="00CC7601"/>
    <w:rPr>
      <w:rFonts w:ascii="Arial" w:hAnsi="Arial"/>
      <w:b/>
      <w:bCs/>
      <w:lang w:val="en-US" w:eastAsia="zh-CN"/>
    </w:rPr>
  </w:style>
  <w:style w:type="paragraph" w:customStyle="1" w:styleId="CRCoverPage">
    <w:name w:val="CR Cover Page"/>
    <w:link w:val="CRCoverPageZchn"/>
    <w:rsid w:val="00CC7601"/>
    <w:pPr>
      <w:spacing w:after="120"/>
    </w:pPr>
    <w:rPr>
      <w:rFonts w:ascii="Arial" w:hAnsi="Arial"/>
      <w:lang w:eastAsia="ko-KR"/>
    </w:rPr>
  </w:style>
  <w:style w:type="character" w:customStyle="1" w:styleId="CRCoverPageZchn">
    <w:name w:val="CR Cover Page Zchn"/>
    <w:link w:val="CRCoverPage"/>
    <w:rsid w:val="00CC7601"/>
    <w:rPr>
      <w:rFonts w:ascii="Arial" w:hAnsi="Arial"/>
      <w:lang w:eastAsia="ko-KR"/>
    </w:rPr>
  </w:style>
  <w:style w:type="paragraph" w:customStyle="1" w:styleId="Doc-text2">
    <w:name w:val="Doc-text2"/>
    <w:basedOn w:val="Normal"/>
    <w:link w:val="Doc-text2Char"/>
    <w:qFormat/>
    <w:rsid w:val="00CC7601"/>
    <w:pPr>
      <w:tabs>
        <w:tab w:val="left" w:pos="1622"/>
      </w:tabs>
      <w:ind w:left="1622" w:hanging="363"/>
    </w:pPr>
    <w:rPr>
      <w:rFonts w:eastAsia="MS Mincho"/>
      <w:lang w:val="x-none" w:eastAsia="x-none"/>
    </w:rPr>
  </w:style>
  <w:style w:type="character" w:customStyle="1" w:styleId="Doc-text2Char">
    <w:name w:val="Doc-text2 Char"/>
    <w:link w:val="Doc-text2"/>
    <w:locked/>
    <w:rsid w:val="00CC7601"/>
    <w:rPr>
      <w:rFonts w:asciiTheme="minorHAnsi" w:eastAsia="MS Mincho" w:hAnsiTheme="minorHAnsi" w:cstheme="minorBidi"/>
      <w:sz w:val="22"/>
      <w:szCs w:val="22"/>
      <w:lang w:val="x-none" w:eastAsia="x-none"/>
    </w:rPr>
  </w:style>
  <w:style w:type="character" w:customStyle="1" w:styleId="DocumentMapChar">
    <w:name w:val="Document Map Char"/>
    <w:link w:val="DocumentMap"/>
    <w:rsid w:val="00CC7601"/>
    <w:rPr>
      <w:rFonts w:ascii="Tahoma" w:hAnsi="Tahoma" w:cs="Tahoma"/>
      <w:shd w:val="clear" w:color="auto" w:fill="000080"/>
      <w:lang w:val="en-US" w:eastAsia="zh-CN"/>
    </w:rPr>
  </w:style>
  <w:style w:type="paragraph" w:customStyle="1" w:styleId="NO">
    <w:name w:val="NO"/>
    <w:basedOn w:val="Normal"/>
    <w:link w:val="NOChar"/>
    <w:rsid w:val="00CC7601"/>
    <w:pPr>
      <w:keepLines/>
      <w:ind w:left="1135" w:hanging="851"/>
    </w:pPr>
  </w:style>
  <w:style w:type="character" w:customStyle="1" w:styleId="NOChar">
    <w:name w:val="NO Char"/>
    <w:link w:val="NO"/>
    <w:qFormat/>
    <w:rsid w:val="00CC7601"/>
    <w:rPr>
      <w:rFonts w:ascii="Arial" w:hAnsi="Arial"/>
      <w:lang w:val="en-US" w:eastAsia="zh-CN"/>
    </w:rPr>
  </w:style>
  <w:style w:type="character" w:customStyle="1" w:styleId="EditorsNoteChar">
    <w:name w:val="Editor's Note Char"/>
    <w:link w:val="EditorsNote"/>
    <w:rsid w:val="00CC7601"/>
    <w:rPr>
      <w:rFonts w:ascii="Arial" w:hAnsi="Arial"/>
      <w:color w:val="FF0000"/>
      <w:lang w:val="x-none" w:eastAsia="x-none"/>
    </w:rPr>
  </w:style>
  <w:style w:type="paragraph" w:customStyle="1" w:styleId="EmailDiscussion">
    <w:name w:val="EmailDiscussion"/>
    <w:basedOn w:val="Normal"/>
    <w:next w:val="Normal"/>
    <w:rsid w:val="00CC7601"/>
    <w:pPr>
      <w:numPr>
        <w:numId w:val="14"/>
      </w:numPr>
      <w:spacing w:before="40"/>
    </w:pPr>
    <w:rPr>
      <w:rFonts w:eastAsia="MS Mincho"/>
      <w:b/>
      <w:lang w:eastAsia="en-GB"/>
    </w:rPr>
  </w:style>
  <w:style w:type="character" w:styleId="Emphasis">
    <w:name w:val="Emphasis"/>
    <w:qFormat/>
    <w:rsid w:val="00CC7601"/>
    <w:rPr>
      <w:i/>
      <w:iCs/>
    </w:rPr>
  </w:style>
  <w:style w:type="paragraph" w:customStyle="1" w:styleId="FigureTitle">
    <w:name w:val="Figure_Title"/>
    <w:basedOn w:val="Normal"/>
    <w:next w:val="Normal"/>
    <w:rsid w:val="00CC7601"/>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CC7601"/>
    <w:rPr>
      <w:rFonts w:ascii="Arial" w:hAnsi="Arial"/>
      <w:b/>
      <w:noProof/>
      <w:sz w:val="18"/>
      <w:lang w:eastAsia="ja-JP"/>
    </w:rPr>
  </w:style>
  <w:style w:type="character" w:customStyle="1" w:styleId="FooterChar">
    <w:name w:val="Footer Char"/>
    <w:link w:val="Footer"/>
    <w:rsid w:val="00CC7601"/>
    <w:rPr>
      <w:rFonts w:ascii="Arial" w:hAnsi="Arial"/>
      <w:b/>
      <w:i/>
      <w:noProof/>
      <w:sz w:val="18"/>
      <w:lang w:eastAsia="ja-JP"/>
    </w:rPr>
  </w:style>
  <w:style w:type="character" w:customStyle="1" w:styleId="FootnoteTextChar">
    <w:name w:val="Footnote Text Char"/>
    <w:link w:val="FootnoteText"/>
    <w:rsid w:val="00CC7601"/>
    <w:rPr>
      <w:rFonts w:asciiTheme="minorHAnsi" w:eastAsiaTheme="minorHAnsi" w:hAnsiTheme="minorHAnsi" w:cstheme="minorBidi"/>
      <w:sz w:val="16"/>
      <w:szCs w:val="22"/>
      <w:lang w:val="en-US" w:eastAsia="en-US"/>
    </w:rPr>
  </w:style>
  <w:style w:type="paragraph" w:customStyle="1" w:styleId="Guidance">
    <w:name w:val="Guidance"/>
    <w:basedOn w:val="Normal"/>
    <w:rsid w:val="00CC7601"/>
    <w:rPr>
      <w:i/>
      <w:color w:val="0000FF"/>
    </w:rPr>
  </w:style>
  <w:style w:type="character" w:customStyle="1" w:styleId="Heading2Char">
    <w:name w:val="Heading 2 Char"/>
    <w:link w:val="Heading2"/>
    <w:rsid w:val="00CC7601"/>
    <w:rPr>
      <w:rFonts w:ascii="Arial" w:hAnsi="Arial"/>
      <w:sz w:val="32"/>
      <w:lang w:eastAsia="ja-JP"/>
    </w:rPr>
  </w:style>
  <w:style w:type="character" w:customStyle="1" w:styleId="Heading3Char">
    <w:name w:val="Heading 3 Char"/>
    <w:link w:val="Heading3"/>
    <w:rsid w:val="00CC7601"/>
    <w:rPr>
      <w:rFonts w:ascii="Arial" w:hAnsi="Arial"/>
      <w:sz w:val="28"/>
      <w:lang w:eastAsia="ja-JP"/>
    </w:rPr>
  </w:style>
  <w:style w:type="character" w:customStyle="1" w:styleId="Heading4Char">
    <w:name w:val="Heading 4 Char"/>
    <w:link w:val="Heading4"/>
    <w:rsid w:val="00CC7601"/>
    <w:rPr>
      <w:rFonts w:ascii="Arial" w:hAnsi="Arial"/>
      <w:sz w:val="24"/>
      <w:lang w:eastAsia="ja-JP"/>
    </w:rPr>
  </w:style>
  <w:style w:type="character" w:customStyle="1" w:styleId="Heading5Char">
    <w:name w:val="Heading 5 Char"/>
    <w:link w:val="Heading5"/>
    <w:rsid w:val="00CC7601"/>
    <w:rPr>
      <w:rFonts w:ascii="Arial" w:hAnsi="Arial"/>
      <w:sz w:val="22"/>
      <w:lang w:eastAsia="ja-JP"/>
    </w:rPr>
  </w:style>
  <w:style w:type="paragraph" w:customStyle="1" w:styleId="H6">
    <w:name w:val="H6"/>
    <w:basedOn w:val="Heading5"/>
    <w:next w:val="Normal"/>
    <w:rsid w:val="00CC7601"/>
    <w:pPr>
      <w:numPr>
        <w:ilvl w:val="0"/>
        <w:numId w:val="0"/>
      </w:numPr>
      <w:ind w:left="1985" w:hanging="1985"/>
      <w:outlineLvl w:val="9"/>
    </w:pPr>
    <w:rPr>
      <w:sz w:val="20"/>
    </w:rPr>
  </w:style>
  <w:style w:type="character" w:customStyle="1" w:styleId="Heading6Char">
    <w:name w:val="Heading 6 Char"/>
    <w:link w:val="Heading6"/>
    <w:rsid w:val="00CC7601"/>
    <w:rPr>
      <w:rFonts w:ascii="Arial" w:hAnsi="Arial"/>
      <w:lang w:eastAsia="ja-JP"/>
    </w:rPr>
  </w:style>
  <w:style w:type="character" w:customStyle="1" w:styleId="Heading7Char">
    <w:name w:val="Heading 7 Char"/>
    <w:link w:val="Heading7"/>
    <w:rsid w:val="00CC7601"/>
    <w:rPr>
      <w:rFonts w:ascii="Arial" w:hAnsi="Arial"/>
      <w:lang w:eastAsia="ja-JP"/>
    </w:rPr>
  </w:style>
  <w:style w:type="character" w:customStyle="1" w:styleId="Heading8Char">
    <w:name w:val="Heading 8 Char"/>
    <w:link w:val="Heading8"/>
    <w:rsid w:val="00CC7601"/>
    <w:rPr>
      <w:rFonts w:ascii="Arial" w:hAnsi="Arial"/>
      <w:sz w:val="36"/>
      <w:lang w:eastAsia="ja-JP"/>
    </w:rPr>
  </w:style>
  <w:style w:type="character" w:customStyle="1" w:styleId="Heading9Char">
    <w:name w:val="Heading 9 Char"/>
    <w:link w:val="Heading9"/>
    <w:rsid w:val="00CC7601"/>
    <w:rPr>
      <w:rFonts w:ascii="Arial" w:hAnsi="Arial"/>
      <w:sz w:val="36"/>
      <w:lang w:eastAsia="ja-JP"/>
    </w:rPr>
  </w:style>
  <w:style w:type="character" w:styleId="HTMLCode">
    <w:name w:val="HTML Code"/>
    <w:uiPriority w:val="99"/>
    <w:unhideWhenUsed/>
    <w:rsid w:val="00CC7601"/>
    <w:rPr>
      <w:rFonts w:ascii="Courier New" w:eastAsia="Times New Roman" w:hAnsi="Courier New" w:cs="Courier New"/>
      <w:sz w:val="20"/>
      <w:szCs w:val="20"/>
    </w:rPr>
  </w:style>
  <w:style w:type="paragraph" w:styleId="IndexHeading">
    <w:name w:val="index heading"/>
    <w:basedOn w:val="Normal"/>
    <w:next w:val="Normal"/>
    <w:rsid w:val="00CC7601"/>
    <w:pPr>
      <w:pBdr>
        <w:top w:val="single" w:sz="12" w:space="0" w:color="auto"/>
      </w:pBdr>
      <w:spacing w:before="360" w:after="240"/>
    </w:pPr>
    <w:rPr>
      <w:b/>
      <w:i/>
      <w:sz w:val="26"/>
      <w:lang w:eastAsia="en-GB"/>
    </w:rPr>
  </w:style>
  <w:style w:type="paragraph" w:customStyle="1" w:styleId="LD">
    <w:name w:val="LD"/>
    <w:rsid w:val="00CC760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列"/>
    <w:basedOn w:val="Normal"/>
    <w:link w:val="ListParagraphChar"/>
    <w:uiPriority w:val="34"/>
    <w:qFormat/>
    <w:rsid w:val="00CC7601"/>
    <w:pPr>
      <w:ind w:left="720"/>
    </w:pPr>
    <w:rPr>
      <w:rFonts w:ascii="Calibri" w:eastAsia="Calibri" w:hAnsi="Calibri"/>
      <w:lang w:val="x-none"/>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CC7601"/>
    <w:rPr>
      <w:rFonts w:ascii="Calibri" w:eastAsia="Calibri" w:hAnsi="Calibri" w:cstheme="minorBidi"/>
      <w:sz w:val="22"/>
      <w:szCs w:val="22"/>
      <w:lang w:val="x-none" w:eastAsia="en-US"/>
    </w:rPr>
  </w:style>
  <w:style w:type="paragraph" w:customStyle="1" w:styleId="NF">
    <w:name w:val="NF"/>
    <w:basedOn w:val="NO"/>
    <w:rsid w:val="00CC7601"/>
    <w:pPr>
      <w:keepNext/>
    </w:pPr>
    <w:rPr>
      <w:sz w:val="18"/>
    </w:rPr>
  </w:style>
  <w:style w:type="paragraph" w:customStyle="1" w:styleId="NW">
    <w:name w:val="NW"/>
    <w:basedOn w:val="NO"/>
    <w:rsid w:val="00CC7601"/>
  </w:style>
  <w:style w:type="paragraph" w:customStyle="1" w:styleId="PL">
    <w:name w:val="PL"/>
    <w:link w:val="PLChar"/>
    <w:qFormat/>
    <w:rsid w:val="00CC7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CC7601"/>
    <w:rPr>
      <w:rFonts w:ascii="Courier New" w:eastAsia="Batang" w:hAnsi="Courier New"/>
      <w:noProof/>
      <w:sz w:val="16"/>
      <w:shd w:val="clear" w:color="auto" w:fill="E6E6E6"/>
      <w:lang w:eastAsia="sv-SE"/>
    </w:rPr>
  </w:style>
  <w:style w:type="paragraph" w:styleId="PlainText">
    <w:name w:val="Plain Text"/>
    <w:basedOn w:val="Normal"/>
    <w:link w:val="PlainTextChar"/>
    <w:rsid w:val="00CC7601"/>
    <w:rPr>
      <w:rFonts w:ascii="Courier New" w:hAnsi="Courier New"/>
      <w:lang w:val="nb-NO"/>
    </w:rPr>
  </w:style>
  <w:style w:type="character" w:customStyle="1" w:styleId="PlainTextChar">
    <w:name w:val="Plain Text Char"/>
    <w:link w:val="PlainText"/>
    <w:rsid w:val="00CC7601"/>
    <w:rPr>
      <w:rFonts w:ascii="Courier New" w:hAnsi="Courier New"/>
      <w:lang w:val="nb-NO" w:eastAsia="zh-CN"/>
    </w:rPr>
  </w:style>
  <w:style w:type="character" w:styleId="Strong">
    <w:name w:val="Strong"/>
    <w:uiPriority w:val="22"/>
    <w:qFormat/>
    <w:rsid w:val="00CC7601"/>
    <w:rPr>
      <w:b/>
      <w:bCs/>
    </w:rPr>
  </w:style>
  <w:style w:type="table" w:styleId="TableGrid">
    <w:name w:val="Table Grid"/>
    <w:basedOn w:val="TableNormal"/>
    <w:uiPriority w:val="39"/>
    <w:rsid w:val="00CC760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C7601"/>
    <w:rPr>
      <w:rFonts w:asciiTheme="minorHAnsi" w:eastAsiaTheme="minorHAnsi" w:hAnsiTheme="minorHAnsi" w:cstheme="minorBidi"/>
      <w:sz w:val="18"/>
      <w:szCs w:val="22"/>
      <w:lang w:val="x-none" w:eastAsia="x-none"/>
    </w:rPr>
  </w:style>
  <w:style w:type="character" w:customStyle="1" w:styleId="TAHCar">
    <w:name w:val="TAH Car"/>
    <w:link w:val="TAH"/>
    <w:locked/>
    <w:rsid w:val="00CC7601"/>
    <w:rPr>
      <w:rFonts w:ascii="Arial" w:hAnsi="Arial"/>
      <w:b/>
      <w:sz w:val="18"/>
      <w:lang w:val="x-none" w:eastAsia="x-none"/>
    </w:rPr>
  </w:style>
  <w:style w:type="character" w:customStyle="1" w:styleId="THChar">
    <w:name w:val="TH Char"/>
    <w:link w:val="TH"/>
    <w:rsid w:val="00CC7601"/>
    <w:rPr>
      <w:rFonts w:ascii="Arial" w:hAnsi="Arial"/>
      <w:b/>
      <w:lang w:val="x-none" w:eastAsia="x-none"/>
    </w:rPr>
  </w:style>
  <w:style w:type="paragraph" w:customStyle="1" w:styleId="TAJ">
    <w:name w:val="TAJ"/>
    <w:basedOn w:val="TH"/>
    <w:rsid w:val="00CC7601"/>
  </w:style>
  <w:style w:type="paragraph" w:customStyle="1" w:styleId="TALCharChar">
    <w:name w:val="TAL Char Char"/>
    <w:basedOn w:val="Normal"/>
    <w:link w:val="TALCharCharChar"/>
    <w:rsid w:val="00CC7601"/>
    <w:pPr>
      <w:keepNext/>
      <w:keepLines/>
    </w:pPr>
    <w:rPr>
      <w:rFonts w:eastAsia="Malgun Gothic"/>
      <w:sz w:val="18"/>
      <w:lang w:val="x-none" w:eastAsia="x-none"/>
    </w:rPr>
  </w:style>
  <w:style w:type="character" w:customStyle="1" w:styleId="TALCharCharChar">
    <w:name w:val="TAL Char Char Char"/>
    <w:link w:val="TALCharChar"/>
    <w:rsid w:val="00CC7601"/>
    <w:rPr>
      <w:rFonts w:asciiTheme="minorHAnsi" w:eastAsia="Malgun Gothic" w:hAnsiTheme="minorHAnsi" w:cstheme="minorBidi"/>
      <w:sz w:val="18"/>
      <w:szCs w:val="22"/>
      <w:lang w:val="x-none" w:eastAsia="x-none"/>
    </w:rPr>
  </w:style>
  <w:style w:type="character" w:customStyle="1" w:styleId="TFChar">
    <w:name w:val="TF Char"/>
    <w:link w:val="TF"/>
    <w:rsid w:val="00CC7601"/>
    <w:rPr>
      <w:rFonts w:ascii="Arial" w:hAnsi="Arial"/>
      <w:b/>
      <w:lang w:val="x-none" w:eastAsia="x-none"/>
    </w:rPr>
  </w:style>
  <w:style w:type="paragraph" w:styleId="ListContinue">
    <w:name w:val="List Continue"/>
    <w:basedOn w:val="Normal"/>
    <w:rsid w:val="00CC7601"/>
    <w:pPr>
      <w:ind w:left="283"/>
      <w:contextualSpacing/>
    </w:pPr>
  </w:style>
  <w:style w:type="paragraph" w:styleId="ListContinue2">
    <w:name w:val="List Continue 2"/>
    <w:basedOn w:val="Normal"/>
    <w:rsid w:val="00CC7601"/>
    <w:pPr>
      <w:ind w:left="566"/>
      <w:contextualSpacing/>
    </w:pPr>
  </w:style>
  <w:style w:type="paragraph" w:styleId="ListNumber3">
    <w:name w:val="List Number 3"/>
    <w:basedOn w:val="ListNumber2"/>
    <w:rsid w:val="00CC7601"/>
    <w:pPr>
      <w:numPr>
        <w:numId w:val="10"/>
      </w:numPr>
      <w:contextualSpacing/>
    </w:pPr>
  </w:style>
  <w:style w:type="character" w:customStyle="1" w:styleId="ReferenceChar">
    <w:name w:val="Reference Char"/>
    <w:link w:val="Reference"/>
    <w:rsid w:val="009B63B0"/>
    <w:rPr>
      <w:rFonts w:asciiTheme="minorHAnsi" w:eastAsiaTheme="minorEastAsia" w:hAnsiTheme="minorHAnsi" w:cstheme="minorBidi"/>
      <w:sz w:val="22"/>
      <w:szCs w:val="22"/>
      <w:lang w:val="sv-SE" w:eastAsia="zh-CN"/>
    </w:rPr>
  </w:style>
  <w:style w:type="paragraph" w:styleId="Revision">
    <w:name w:val="Revision"/>
    <w:hidden/>
    <w:uiPriority w:val="99"/>
    <w:semiHidden/>
    <w:rsid w:val="000E10F8"/>
    <w:rPr>
      <w:rFonts w:asciiTheme="minorHAnsi" w:eastAsiaTheme="minorHAnsi" w:hAnsiTheme="minorHAnsi" w:cstheme="minorBidi"/>
      <w:sz w:val="24"/>
      <w:szCs w:val="24"/>
      <w:lang w:eastAsia="en-US"/>
    </w:rPr>
  </w:style>
  <w:style w:type="character" w:customStyle="1" w:styleId="IvDbodytextChar">
    <w:name w:val="IvD bodytext Char"/>
    <w:basedOn w:val="DefaultParagraphFont"/>
    <w:link w:val="IvDbodytext"/>
    <w:locked/>
    <w:rsid w:val="00D24D8E"/>
    <w:rPr>
      <w:rFonts w:ascii="Arial" w:hAnsi="Arial" w:cs="Arial"/>
      <w:spacing w:val="2"/>
      <w:sz w:val="22"/>
    </w:rPr>
  </w:style>
  <w:style w:type="paragraph" w:customStyle="1" w:styleId="IvDbodytext">
    <w:name w:val="IvD bodytext"/>
    <w:basedOn w:val="BodyText"/>
    <w:link w:val="IvDbodytextChar"/>
    <w:qFormat/>
    <w:rsid w:val="00C17A24"/>
    <w:pPr>
      <w:keepLines/>
      <w:tabs>
        <w:tab w:val="left" w:pos="2552"/>
        <w:tab w:val="left" w:pos="3856"/>
        <w:tab w:val="left" w:pos="5216"/>
        <w:tab w:val="left" w:pos="6464"/>
        <w:tab w:val="left" w:pos="7768"/>
        <w:tab w:val="left" w:pos="9072"/>
        <w:tab w:val="left" w:pos="9639"/>
      </w:tabs>
      <w:spacing w:before="240"/>
    </w:pPr>
    <w:rPr>
      <w:rFonts w:ascii="Arial" w:eastAsia="Times New Roman" w:hAnsi="Arial" w:cs="Arial"/>
      <w:spacing w:val="2"/>
      <w:szCs w:val="20"/>
      <w:lang w:val="en-GB" w:eastAsia="en-GB"/>
    </w:rPr>
  </w:style>
  <w:style w:type="character" w:styleId="UnresolvedMention">
    <w:name w:val="Unresolved Mention"/>
    <w:basedOn w:val="DefaultParagraphFont"/>
    <w:uiPriority w:val="99"/>
    <w:unhideWhenUsed/>
    <w:rsid w:val="005F741A"/>
    <w:rPr>
      <w:color w:val="605E5C"/>
      <w:shd w:val="clear" w:color="auto" w:fill="E1DFDD"/>
    </w:rPr>
  </w:style>
  <w:style w:type="character" w:styleId="Mention">
    <w:name w:val="Mention"/>
    <w:basedOn w:val="DefaultParagraphFont"/>
    <w:uiPriority w:val="99"/>
    <w:unhideWhenUsed/>
    <w:rsid w:val="005F741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9609476">
      <w:bodyDiv w:val="1"/>
      <w:marLeft w:val="0"/>
      <w:marRight w:val="0"/>
      <w:marTop w:val="0"/>
      <w:marBottom w:val="0"/>
      <w:divBdr>
        <w:top w:val="none" w:sz="0" w:space="0" w:color="auto"/>
        <w:left w:val="none" w:sz="0" w:space="0" w:color="auto"/>
        <w:bottom w:val="none" w:sz="0" w:space="0" w:color="auto"/>
        <w:right w:val="none" w:sz="0" w:space="0" w:color="auto"/>
      </w:divBdr>
      <w:divsChild>
        <w:div w:id="709569196">
          <w:marLeft w:val="0"/>
          <w:marRight w:val="0"/>
          <w:marTop w:val="0"/>
          <w:marBottom w:val="0"/>
          <w:divBdr>
            <w:top w:val="none" w:sz="0" w:space="0" w:color="auto"/>
            <w:left w:val="none" w:sz="0" w:space="0" w:color="auto"/>
            <w:bottom w:val="none" w:sz="0" w:space="0" w:color="auto"/>
            <w:right w:val="none" w:sz="0" w:space="0" w:color="auto"/>
          </w:divBdr>
        </w:div>
      </w:divsChild>
    </w:div>
    <w:div w:id="917637816">
      <w:bodyDiv w:val="1"/>
      <w:marLeft w:val="0"/>
      <w:marRight w:val="0"/>
      <w:marTop w:val="0"/>
      <w:marBottom w:val="0"/>
      <w:divBdr>
        <w:top w:val="none" w:sz="0" w:space="0" w:color="auto"/>
        <w:left w:val="none" w:sz="0" w:space="0" w:color="auto"/>
        <w:bottom w:val="none" w:sz="0" w:space="0" w:color="auto"/>
        <w:right w:val="none" w:sz="0" w:space="0" w:color="auto"/>
      </w:divBdr>
      <w:divsChild>
        <w:div w:id="1218082078">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 Id="rId27"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041803-FE32-4563-A293-D9AF13B590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4749</Words>
  <Characters>27837</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32521</CharactersWithSpaces>
  <SharedDoc>false</SharedDoc>
  <HLinks>
    <vt:vector size="126" baseType="variant">
      <vt:variant>
        <vt:i4>1703991</vt:i4>
      </vt:variant>
      <vt:variant>
        <vt:i4>116</vt:i4>
      </vt:variant>
      <vt:variant>
        <vt:i4>0</vt:i4>
      </vt:variant>
      <vt:variant>
        <vt:i4>5</vt:i4>
      </vt:variant>
      <vt:variant>
        <vt:lpwstr/>
      </vt:variant>
      <vt:variant>
        <vt:lpwstr>_Toc54102118</vt:lpwstr>
      </vt:variant>
      <vt:variant>
        <vt:i4>1376311</vt:i4>
      </vt:variant>
      <vt:variant>
        <vt:i4>113</vt:i4>
      </vt:variant>
      <vt:variant>
        <vt:i4>0</vt:i4>
      </vt:variant>
      <vt:variant>
        <vt:i4>5</vt:i4>
      </vt:variant>
      <vt:variant>
        <vt:lpwstr/>
      </vt:variant>
      <vt:variant>
        <vt:lpwstr>_Toc54102117</vt:lpwstr>
      </vt:variant>
      <vt:variant>
        <vt:i4>1310775</vt:i4>
      </vt:variant>
      <vt:variant>
        <vt:i4>110</vt:i4>
      </vt:variant>
      <vt:variant>
        <vt:i4>0</vt:i4>
      </vt:variant>
      <vt:variant>
        <vt:i4>5</vt:i4>
      </vt:variant>
      <vt:variant>
        <vt:lpwstr/>
      </vt:variant>
      <vt:variant>
        <vt:lpwstr>_Toc54102116</vt:lpwstr>
      </vt:variant>
      <vt:variant>
        <vt:i4>1507383</vt:i4>
      </vt:variant>
      <vt:variant>
        <vt:i4>107</vt:i4>
      </vt:variant>
      <vt:variant>
        <vt:i4>0</vt:i4>
      </vt:variant>
      <vt:variant>
        <vt:i4>5</vt:i4>
      </vt:variant>
      <vt:variant>
        <vt:lpwstr/>
      </vt:variant>
      <vt:variant>
        <vt:lpwstr>_Toc54102115</vt:lpwstr>
      </vt:variant>
      <vt:variant>
        <vt:i4>1441847</vt:i4>
      </vt:variant>
      <vt:variant>
        <vt:i4>104</vt:i4>
      </vt:variant>
      <vt:variant>
        <vt:i4>0</vt:i4>
      </vt:variant>
      <vt:variant>
        <vt:i4>5</vt:i4>
      </vt:variant>
      <vt:variant>
        <vt:lpwstr/>
      </vt:variant>
      <vt:variant>
        <vt:lpwstr>_Toc54102114</vt:lpwstr>
      </vt:variant>
      <vt:variant>
        <vt:i4>1114167</vt:i4>
      </vt:variant>
      <vt:variant>
        <vt:i4>101</vt:i4>
      </vt:variant>
      <vt:variant>
        <vt:i4>0</vt:i4>
      </vt:variant>
      <vt:variant>
        <vt:i4>5</vt:i4>
      </vt:variant>
      <vt:variant>
        <vt:lpwstr/>
      </vt:variant>
      <vt:variant>
        <vt:lpwstr>_Toc54102113</vt:lpwstr>
      </vt:variant>
      <vt:variant>
        <vt:i4>1048631</vt:i4>
      </vt:variant>
      <vt:variant>
        <vt:i4>98</vt:i4>
      </vt:variant>
      <vt:variant>
        <vt:i4>0</vt:i4>
      </vt:variant>
      <vt:variant>
        <vt:i4>5</vt:i4>
      </vt:variant>
      <vt:variant>
        <vt:lpwstr/>
      </vt:variant>
      <vt:variant>
        <vt:lpwstr>_Toc54102112</vt:lpwstr>
      </vt:variant>
      <vt:variant>
        <vt:i4>1245239</vt:i4>
      </vt:variant>
      <vt:variant>
        <vt:i4>92</vt:i4>
      </vt:variant>
      <vt:variant>
        <vt:i4>0</vt:i4>
      </vt:variant>
      <vt:variant>
        <vt:i4>5</vt:i4>
      </vt:variant>
      <vt:variant>
        <vt:lpwstr/>
      </vt:variant>
      <vt:variant>
        <vt:lpwstr>_Toc54102111</vt:lpwstr>
      </vt:variant>
      <vt:variant>
        <vt:i4>1179703</vt:i4>
      </vt:variant>
      <vt:variant>
        <vt:i4>89</vt:i4>
      </vt:variant>
      <vt:variant>
        <vt:i4>0</vt:i4>
      </vt:variant>
      <vt:variant>
        <vt:i4>5</vt:i4>
      </vt:variant>
      <vt:variant>
        <vt:lpwstr/>
      </vt:variant>
      <vt:variant>
        <vt:lpwstr>_Toc54102110</vt:lpwstr>
      </vt:variant>
      <vt:variant>
        <vt:i4>1769526</vt:i4>
      </vt:variant>
      <vt:variant>
        <vt:i4>86</vt:i4>
      </vt:variant>
      <vt:variant>
        <vt:i4>0</vt:i4>
      </vt:variant>
      <vt:variant>
        <vt:i4>5</vt:i4>
      </vt:variant>
      <vt:variant>
        <vt:lpwstr/>
      </vt:variant>
      <vt:variant>
        <vt:lpwstr>_Toc54102109</vt:lpwstr>
      </vt:variant>
      <vt:variant>
        <vt:i4>1703990</vt:i4>
      </vt:variant>
      <vt:variant>
        <vt:i4>83</vt:i4>
      </vt:variant>
      <vt:variant>
        <vt:i4>0</vt:i4>
      </vt:variant>
      <vt:variant>
        <vt:i4>5</vt:i4>
      </vt:variant>
      <vt:variant>
        <vt:lpwstr/>
      </vt:variant>
      <vt:variant>
        <vt:lpwstr>_Toc54102108</vt:lpwstr>
      </vt:variant>
      <vt:variant>
        <vt:i4>1376310</vt:i4>
      </vt:variant>
      <vt:variant>
        <vt:i4>80</vt:i4>
      </vt:variant>
      <vt:variant>
        <vt:i4>0</vt:i4>
      </vt:variant>
      <vt:variant>
        <vt:i4>5</vt:i4>
      </vt:variant>
      <vt:variant>
        <vt:lpwstr/>
      </vt:variant>
      <vt:variant>
        <vt:lpwstr>_Toc54102107</vt:lpwstr>
      </vt:variant>
      <vt:variant>
        <vt:i4>1310774</vt:i4>
      </vt:variant>
      <vt:variant>
        <vt:i4>77</vt:i4>
      </vt:variant>
      <vt:variant>
        <vt:i4>0</vt:i4>
      </vt:variant>
      <vt:variant>
        <vt:i4>5</vt:i4>
      </vt:variant>
      <vt:variant>
        <vt:lpwstr/>
      </vt:variant>
      <vt:variant>
        <vt:lpwstr>_Toc54102106</vt:lpwstr>
      </vt:variant>
      <vt:variant>
        <vt:i4>1441846</vt:i4>
      </vt:variant>
      <vt:variant>
        <vt:i4>74</vt:i4>
      </vt:variant>
      <vt:variant>
        <vt:i4>0</vt:i4>
      </vt:variant>
      <vt:variant>
        <vt:i4>5</vt:i4>
      </vt:variant>
      <vt:variant>
        <vt:lpwstr/>
      </vt:variant>
      <vt:variant>
        <vt:lpwstr>_Toc54102104</vt:lpwstr>
      </vt:variant>
      <vt:variant>
        <vt:i4>1114166</vt:i4>
      </vt:variant>
      <vt:variant>
        <vt:i4>71</vt:i4>
      </vt:variant>
      <vt:variant>
        <vt:i4>0</vt:i4>
      </vt:variant>
      <vt:variant>
        <vt:i4>5</vt:i4>
      </vt:variant>
      <vt:variant>
        <vt:lpwstr/>
      </vt:variant>
      <vt:variant>
        <vt:lpwstr>_Toc54102103</vt:lpwstr>
      </vt:variant>
      <vt:variant>
        <vt:i4>1048630</vt:i4>
      </vt:variant>
      <vt:variant>
        <vt:i4>68</vt:i4>
      </vt:variant>
      <vt:variant>
        <vt:i4>0</vt:i4>
      </vt:variant>
      <vt:variant>
        <vt:i4>5</vt:i4>
      </vt:variant>
      <vt:variant>
        <vt:lpwstr/>
      </vt:variant>
      <vt:variant>
        <vt:lpwstr>_Toc54102102</vt:lpwstr>
      </vt:variant>
      <vt:variant>
        <vt:i4>1245238</vt:i4>
      </vt:variant>
      <vt:variant>
        <vt:i4>65</vt:i4>
      </vt:variant>
      <vt:variant>
        <vt:i4>0</vt:i4>
      </vt:variant>
      <vt:variant>
        <vt:i4>5</vt:i4>
      </vt:variant>
      <vt:variant>
        <vt:lpwstr/>
      </vt:variant>
      <vt:variant>
        <vt:lpwstr>_Toc54102101</vt:lpwstr>
      </vt:variant>
      <vt:variant>
        <vt:i4>1179702</vt:i4>
      </vt:variant>
      <vt:variant>
        <vt:i4>62</vt:i4>
      </vt:variant>
      <vt:variant>
        <vt:i4>0</vt:i4>
      </vt:variant>
      <vt:variant>
        <vt:i4>5</vt:i4>
      </vt:variant>
      <vt:variant>
        <vt:lpwstr/>
      </vt:variant>
      <vt:variant>
        <vt:lpwstr>_Toc54102100</vt:lpwstr>
      </vt:variant>
      <vt:variant>
        <vt:i4>1703999</vt:i4>
      </vt:variant>
      <vt:variant>
        <vt:i4>59</vt:i4>
      </vt:variant>
      <vt:variant>
        <vt:i4>0</vt:i4>
      </vt:variant>
      <vt:variant>
        <vt:i4>5</vt:i4>
      </vt:variant>
      <vt:variant>
        <vt:lpwstr/>
      </vt:variant>
      <vt:variant>
        <vt:lpwstr>_Toc54102099</vt:lpwstr>
      </vt:variant>
      <vt:variant>
        <vt:i4>1769535</vt:i4>
      </vt:variant>
      <vt:variant>
        <vt:i4>56</vt:i4>
      </vt:variant>
      <vt:variant>
        <vt:i4>0</vt:i4>
      </vt:variant>
      <vt:variant>
        <vt:i4>5</vt:i4>
      </vt:variant>
      <vt:variant>
        <vt:lpwstr/>
      </vt:variant>
      <vt:variant>
        <vt:lpwstr>_Toc54102098</vt:lpwstr>
      </vt:variant>
      <vt:variant>
        <vt:i4>1310783</vt:i4>
      </vt:variant>
      <vt:variant>
        <vt:i4>53</vt:i4>
      </vt:variant>
      <vt:variant>
        <vt:i4>0</vt:i4>
      </vt:variant>
      <vt:variant>
        <vt:i4>5</vt:i4>
      </vt:variant>
      <vt:variant>
        <vt:lpwstr/>
      </vt:variant>
      <vt:variant>
        <vt:lpwstr>_Toc54102097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2020-10-23T17:31:00Z</dcterms:created>
  <dcterms:modified xsi:type="dcterms:W3CDTF">2020-10-23T20:11:00Z</dcterms:modified>
  <cp:category/>
</cp:coreProperties>
</file>